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11DB" w14:textId="5165C84C" w:rsidR="007E030D" w:rsidRPr="004A2738" w:rsidRDefault="00660B11" w:rsidP="008F511E">
      <w:pPr>
        <w:spacing w:after="0" w:line="276" w:lineRule="auto"/>
        <w:jc w:val="both"/>
        <w:rPr>
          <w:rFonts w:cstheme="minorHAnsi"/>
          <w:i/>
          <w:sz w:val="20"/>
          <w:szCs w:val="20"/>
        </w:rPr>
      </w:pPr>
      <w:r w:rsidRPr="004A2738">
        <w:rPr>
          <w:rFonts w:cstheme="minorHAnsi"/>
          <w:i/>
          <w:sz w:val="20"/>
          <w:szCs w:val="20"/>
        </w:rPr>
        <w:t xml:space="preserve"> </w:t>
      </w:r>
    </w:p>
    <w:tbl>
      <w:tblPr>
        <w:tblStyle w:val="TableGrid"/>
        <w:tblW w:w="5000" w:type="pct"/>
        <w:tblLook w:val="04A0" w:firstRow="1" w:lastRow="0" w:firstColumn="1" w:lastColumn="0" w:noHBand="0" w:noVBand="1"/>
      </w:tblPr>
      <w:tblGrid>
        <w:gridCol w:w="9016"/>
      </w:tblGrid>
      <w:tr w:rsidR="00F61CCD" w:rsidRPr="004A2738" w14:paraId="451C0738" w14:textId="77777777" w:rsidTr="004A2738">
        <w:tc>
          <w:tcPr>
            <w:tcW w:w="5000" w:type="pct"/>
            <w:shd w:val="clear" w:color="auto" w:fill="BFBFBF" w:themeFill="background1" w:themeFillShade="BF"/>
          </w:tcPr>
          <w:p w14:paraId="38A9CC45" w14:textId="77777777" w:rsidR="00D545C3" w:rsidRPr="004A2738" w:rsidRDefault="00D545C3" w:rsidP="008F511E">
            <w:pPr>
              <w:spacing w:line="276" w:lineRule="auto"/>
              <w:jc w:val="center"/>
              <w:rPr>
                <w:rFonts w:cstheme="minorHAnsi"/>
                <w:i/>
                <w:sz w:val="20"/>
                <w:szCs w:val="20"/>
              </w:rPr>
            </w:pPr>
          </w:p>
          <w:p w14:paraId="7D0C71A4" w14:textId="77777777" w:rsidR="00F61CCD" w:rsidRPr="004A2738" w:rsidRDefault="00F61CCD" w:rsidP="008F511E">
            <w:pPr>
              <w:spacing w:line="276" w:lineRule="auto"/>
              <w:jc w:val="center"/>
              <w:rPr>
                <w:rFonts w:cstheme="minorHAnsi"/>
                <w:b/>
                <w:sz w:val="20"/>
                <w:szCs w:val="20"/>
              </w:rPr>
            </w:pPr>
            <w:r w:rsidRPr="004A2738">
              <w:rPr>
                <w:rFonts w:cstheme="minorHAnsi"/>
                <w:b/>
                <w:sz w:val="20"/>
                <w:szCs w:val="20"/>
              </w:rPr>
              <w:t xml:space="preserve">ANNOUNCEMENT OF APPLICATION FOR ADMISSION TO </w:t>
            </w:r>
            <w:r w:rsidR="00C320A1" w:rsidRPr="004A2738">
              <w:rPr>
                <w:rFonts w:cstheme="minorHAnsi"/>
                <w:b/>
                <w:sz w:val="20"/>
                <w:szCs w:val="20"/>
              </w:rPr>
              <w:t xml:space="preserve">THE </w:t>
            </w:r>
            <w:r w:rsidR="0031518F" w:rsidRPr="004A2738">
              <w:rPr>
                <w:rFonts w:cstheme="minorHAnsi"/>
                <w:b/>
                <w:sz w:val="20"/>
                <w:szCs w:val="20"/>
              </w:rPr>
              <w:t>AQSE</w:t>
            </w:r>
            <w:r w:rsidRPr="004A2738">
              <w:rPr>
                <w:rFonts w:cstheme="minorHAnsi"/>
                <w:b/>
                <w:sz w:val="20"/>
                <w:szCs w:val="20"/>
              </w:rPr>
              <w:t xml:space="preserve"> GROWTH MARKET</w:t>
            </w:r>
          </w:p>
          <w:p w14:paraId="451C0737" w14:textId="0F1D95E7" w:rsidR="00D545C3" w:rsidRPr="004A2738" w:rsidRDefault="00D545C3" w:rsidP="008F511E">
            <w:pPr>
              <w:spacing w:line="276" w:lineRule="auto"/>
              <w:jc w:val="center"/>
              <w:rPr>
                <w:rFonts w:cstheme="minorHAnsi"/>
                <w:b/>
                <w:sz w:val="20"/>
                <w:szCs w:val="20"/>
              </w:rPr>
            </w:pPr>
          </w:p>
        </w:tc>
      </w:tr>
      <w:tr w:rsidR="00F61CCD" w:rsidRPr="004A2738" w14:paraId="451C073A" w14:textId="77777777" w:rsidTr="004A2738">
        <w:tc>
          <w:tcPr>
            <w:tcW w:w="5000" w:type="pct"/>
          </w:tcPr>
          <w:p w14:paraId="451C0739" w14:textId="77777777" w:rsidR="00F61CCD" w:rsidRPr="004A2738" w:rsidRDefault="00F61CCD" w:rsidP="008F511E">
            <w:pPr>
              <w:spacing w:line="276" w:lineRule="auto"/>
              <w:rPr>
                <w:rFonts w:cstheme="minorHAnsi"/>
                <w:sz w:val="20"/>
                <w:szCs w:val="20"/>
              </w:rPr>
            </w:pPr>
          </w:p>
        </w:tc>
      </w:tr>
      <w:tr w:rsidR="00F61CCD" w:rsidRPr="004A2738" w14:paraId="451C073C" w14:textId="77777777" w:rsidTr="004A2738">
        <w:tc>
          <w:tcPr>
            <w:tcW w:w="5000" w:type="pct"/>
            <w:shd w:val="clear" w:color="auto" w:fill="D9D9D9" w:themeFill="background1" w:themeFillShade="D9"/>
          </w:tcPr>
          <w:p w14:paraId="451C073B" w14:textId="77777777" w:rsidR="00F61CCD" w:rsidRPr="004A2738" w:rsidRDefault="00C320A1" w:rsidP="008F511E">
            <w:pPr>
              <w:spacing w:line="276" w:lineRule="auto"/>
              <w:rPr>
                <w:rFonts w:cstheme="minorHAnsi"/>
                <w:b/>
                <w:sz w:val="20"/>
                <w:szCs w:val="20"/>
              </w:rPr>
            </w:pPr>
            <w:r w:rsidRPr="004A2738">
              <w:rPr>
                <w:rFonts w:cstheme="minorHAnsi"/>
                <w:b/>
                <w:sz w:val="20"/>
                <w:szCs w:val="20"/>
              </w:rPr>
              <w:t>APPLICANT NAME:</w:t>
            </w:r>
          </w:p>
        </w:tc>
      </w:tr>
      <w:tr w:rsidR="00F61CCD" w:rsidRPr="004A2738" w14:paraId="451C073E" w14:textId="77777777" w:rsidTr="004A2738">
        <w:tc>
          <w:tcPr>
            <w:tcW w:w="5000" w:type="pct"/>
          </w:tcPr>
          <w:p w14:paraId="7AD95686" w14:textId="77777777" w:rsidR="007E030D" w:rsidRPr="004A2738" w:rsidRDefault="001B563C" w:rsidP="008F511E">
            <w:pPr>
              <w:spacing w:line="276" w:lineRule="auto"/>
              <w:rPr>
                <w:rFonts w:cstheme="minorHAnsi"/>
                <w:sz w:val="20"/>
                <w:szCs w:val="20"/>
              </w:rPr>
            </w:pPr>
            <w:r w:rsidRPr="004A2738">
              <w:rPr>
                <w:rFonts w:cstheme="minorHAnsi"/>
                <w:sz w:val="20"/>
                <w:szCs w:val="20"/>
              </w:rPr>
              <w:t>Sterling Digital plc</w:t>
            </w:r>
          </w:p>
          <w:p w14:paraId="451C073D" w14:textId="0557C935" w:rsidR="001B563C" w:rsidRPr="004A2738" w:rsidRDefault="001B563C" w:rsidP="008F511E">
            <w:pPr>
              <w:spacing w:line="276" w:lineRule="auto"/>
              <w:rPr>
                <w:rFonts w:cstheme="minorHAnsi"/>
                <w:sz w:val="20"/>
                <w:szCs w:val="20"/>
              </w:rPr>
            </w:pPr>
          </w:p>
        </w:tc>
      </w:tr>
      <w:tr w:rsidR="00F61CCD" w:rsidRPr="004A2738" w14:paraId="451C0740" w14:textId="77777777" w:rsidTr="004A2738">
        <w:tc>
          <w:tcPr>
            <w:tcW w:w="5000" w:type="pct"/>
            <w:shd w:val="clear" w:color="auto" w:fill="D9D9D9" w:themeFill="background1" w:themeFillShade="D9"/>
          </w:tcPr>
          <w:p w14:paraId="451C073F" w14:textId="77777777" w:rsidR="00F61CCD" w:rsidRPr="004A2738" w:rsidRDefault="00C320A1" w:rsidP="008F511E">
            <w:pPr>
              <w:spacing w:line="276" w:lineRule="auto"/>
              <w:rPr>
                <w:rFonts w:cstheme="minorHAnsi"/>
                <w:b/>
                <w:sz w:val="20"/>
                <w:szCs w:val="20"/>
              </w:rPr>
            </w:pPr>
            <w:r w:rsidRPr="004A2738">
              <w:rPr>
                <w:rFonts w:cstheme="minorHAnsi"/>
                <w:b/>
                <w:sz w:val="20"/>
                <w:szCs w:val="20"/>
              </w:rPr>
              <w:t>APPLICANT REGISTERED OFFICE, PRINCIPLE PLACE OF BUSINESS (IF DIFFERENT) AND TELEPHONE NUMBER:</w:t>
            </w:r>
          </w:p>
        </w:tc>
      </w:tr>
      <w:tr w:rsidR="00F61CCD" w:rsidRPr="004A2738" w14:paraId="451C0742" w14:textId="77777777" w:rsidTr="004A2738">
        <w:tc>
          <w:tcPr>
            <w:tcW w:w="5000" w:type="pct"/>
          </w:tcPr>
          <w:p w14:paraId="5C970BAA" w14:textId="77777777" w:rsidR="007E030D" w:rsidRDefault="001B563C" w:rsidP="008F511E">
            <w:pPr>
              <w:spacing w:line="276" w:lineRule="auto"/>
              <w:rPr>
                <w:rFonts w:cstheme="minorHAnsi"/>
                <w:sz w:val="20"/>
                <w:szCs w:val="20"/>
              </w:rPr>
            </w:pPr>
            <w:r w:rsidRPr="004A2738">
              <w:rPr>
                <w:rFonts w:cstheme="minorHAnsi"/>
                <w:sz w:val="20"/>
                <w:szCs w:val="20"/>
              </w:rPr>
              <w:t>90 Jermyn Street, London, United Kingdom, SW1Y 6JD</w:t>
            </w:r>
          </w:p>
          <w:p w14:paraId="0A1F22B3" w14:textId="77777777" w:rsidR="00B252E9" w:rsidRDefault="00B252E9" w:rsidP="008F511E">
            <w:pPr>
              <w:spacing w:line="276" w:lineRule="auto"/>
              <w:rPr>
                <w:rFonts w:cstheme="minorHAnsi"/>
                <w:sz w:val="20"/>
                <w:szCs w:val="20"/>
              </w:rPr>
            </w:pPr>
          </w:p>
          <w:p w14:paraId="24FF5A1D" w14:textId="09322A76" w:rsidR="00B252E9" w:rsidRPr="004A2738" w:rsidRDefault="00B23870" w:rsidP="008F511E">
            <w:pPr>
              <w:spacing w:line="276" w:lineRule="auto"/>
              <w:rPr>
                <w:rFonts w:cstheme="minorHAnsi"/>
                <w:sz w:val="20"/>
                <w:szCs w:val="20"/>
              </w:rPr>
            </w:pPr>
            <w:r>
              <w:rPr>
                <w:rFonts w:cstheme="minorHAnsi"/>
                <w:sz w:val="20"/>
                <w:szCs w:val="20"/>
              </w:rPr>
              <w:t xml:space="preserve">Phone Number: </w:t>
            </w:r>
            <w:r w:rsidR="00B252E9">
              <w:rPr>
                <w:rFonts w:cstheme="minorHAnsi"/>
                <w:sz w:val="20"/>
                <w:szCs w:val="20"/>
              </w:rPr>
              <w:t>TBC</w:t>
            </w:r>
          </w:p>
          <w:p w14:paraId="451C0741" w14:textId="1C2B8C48" w:rsidR="001B563C" w:rsidRPr="004A2738" w:rsidRDefault="001B563C" w:rsidP="008F511E">
            <w:pPr>
              <w:spacing w:line="276" w:lineRule="auto"/>
              <w:rPr>
                <w:rFonts w:cstheme="minorHAnsi"/>
                <w:sz w:val="20"/>
                <w:szCs w:val="20"/>
              </w:rPr>
            </w:pPr>
          </w:p>
        </w:tc>
      </w:tr>
      <w:tr w:rsidR="00F61CCD" w:rsidRPr="004A2738" w14:paraId="451C0744" w14:textId="77777777" w:rsidTr="004A2738">
        <w:tc>
          <w:tcPr>
            <w:tcW w:w="5000" w:type="pct"/>
            <w:shd w:val="clear" w:color="auto" w:fill="D9D9D9" w:themeFill="background1" w:themeFillShade="D9"/>
          </w:tcPr>
          <w:p w14:paraId="451C0743" w14:textId="77777777" w:rsidR="00F61CCD" w:rsidRPr="004A2738" w:rsidRDefault="00C320A1" w:rsidP="008F511E">
            <w:pPr>
              <w:spacing w:line="276" w:lineRule="auto"/>
              <w:rPr>
                <w:rFonts w:cstheme="minorHAnsi"/>
                <w:b/>
                <w:sz w:val="20"/>
                <w:szCs w:val="20"/>
              </w:rPr>
            </w:pPr>
            <w:r w:rsidRPr="004A2738">
              <w:rPr>
                <w:rFonts w:cstheme="minorHAnsi"/>
                <w:b/>
                <w:sz w:val="20"/>
                <w:szCs w:val="20"/>
              </w:rPr>
              <w:t>DIRECTORS AND PROPOSED DIRECTORS (IF APPLICABLE)</w:t>
            </w:r>
            <w:r w:rsidR="001F751B" w:rsidRPr="004A2738">
              <w:rPr>
                <w:rFonts w:cstheme="minorHAnsi"/>
                <w:b/>
                <w:sz w:val="20"/>
                <w:szCs w:val="20"/>
              </w:rPr>
              <w:t>:</w:t>
            </w:r>
          </w:p>
        </w:tc>
      </w:tr>
      <w:tr w:rsidR="00F61CCD" w:rsidRPr="004A2738" w14:paraId="451C0746" w14:textId="77777777" w:rsidTr="004A2738">
        <w:tc>
          <w:tcPr>
            <w:tcW w:w="5000" w:type="pct"/>
          </w:tcPr>
          <w:p w14:paraId="1285E251" w14:textId="77777777" w:rsidR="001B563C" w:rsidRPr="004A2738" w:rsidRDefault="001B563C" w:rsidP="008F511E">
            <w:pPr>
              <w:spacing w:line="276" w:lineRule="auto"/>
              <w:rPr>
                <w:rFonts w:cstheme="minorHAnsi"/>
                <w:sz w:val="20"/>
                <w:szCs w:val="20"/>
              </w:rPr>
            </w:pPr>
            <w:r w:rsidRPr="004A2738">
              <w:rPr>
                <w:rFonts w:cstheme="minorHAnsi"/>
                <w:sz w:val="20"/>
                <w:szCs w:val="20"/>
              </w:rPr>
              <w:t xml:space="preserve">Guy Winterflood, Non-executive Chairman </w:t>
            </w:r>
          </w:p>
          <w:p w14:paraId="354809A1" w14:textId="77777777" w:rsidR="001B563C" w:rsidRPr="004A2738" w:rsidRDefault="001B563C" w:rsidP="008F511E">
            <w:pPr>
              <w:spacing w:line="276" w:lineRule="auto"/>
              <w:rPr>
                <w:rFonts w:cstheme="minorHAnsi"/>
                <w:sz w:val="20"/>
                <w:szCs w:val="20"/>
              </w:rPr>
            </w:pPr>
            <w:r w:rsidRPr="004A2738">
              <w:rPr>
                <w:rFonts w:cstheme="minorHAnsi"/>
                <w:sz w:val="20"/>
                <w:szCs w:val="20"/>
              </w:rPr>
              <w:t>Stefan Paris Michaelides, Chief Executive Officer</w:t>
            </w:r>
          </w:p>
          <w:p w14:paraId="27A634EA" w14:textId="0FB8ECC6" w:rsidR="001B563C" w:rsidRPr="004A2738" w:rsidRDefault="001B563C" w:rsidP="008F511E">
            <w:pPr>
              <w:spacing w:line="276" w:lineRule="auto"/>
              <w:rPr>
                <w:rFonts w:cstheme="minorHAnsi"/>
                <w:sz w:val="20"/>
                <w:szCs w:val="20"/>
              </w:rPr>
            </w:pPr>
            <w:r w:rsidRPr="004A2738">
              <w:rPr>
                <w:rFonts w:cstheme="minorHAnsi"/>
                <w:sz w:val="20"/>
                <w:szCs w:val="20"/>
              </w:rPr>
              <w:t xml:space="preserve">Jonathan Brian Ovadia, </w:t>
            </w:r>
            <w:r w:rsidR="00314775" w:rsidRPr="004A2738">
              <w:rPr>
                <w:rFonts w:cstheme="minorHAnsi"/>
                <w:sz w:val="20"/>
                <w:szCs w:val="20"/>
              </w:rPr>
              <w:t xml:space="preserve">Independent </w:t>
            </w:r>
            <w:r w:rsidR="00457EDE" w:rsidRPr="004A2738">
              <w:rPr>
                <w:rFonts w:cstheme="minorHAnsi"/>
                <w:sz w:val="20"/>
                <w:szCs w:val="20"/>
              </w:rPr>
              <w:t>No</w:t>
            </w:r>
            <w:r w:rsidRPr="004A2738">
              <w:rPr>
                <w:rFonts w:cstheme="minorHAnsi"/>
                <w:sz w:val="20"/>
                <w:szCs w:val="20"/>
              </w:rPr>
              <w:t xml:space="preserve">n-executive Director </w:t>
            </w:r>
          </w:p>
          <w:p w14:paraId="2E48BD2A" w14:textId="665128A7" w:rsidR="001B563C" w:rsidRPr="004A2738" w:rsidRDefault="001B563C" w:rsidP="008F511E">
            <w:pPr>
              <w:spacing w:line="276" w:lineRule="auto"/>
              <w:rPr>
                <w:rFonts w:cstheme="minorHAnsi"/>
                <w:sz w:val="20"/>
                <w:szCs w:val="20"/>
              </w:rPr>
            </w:pPr>
            <w:r w:rsidRPr="004A2738">
              <w:rPr>
                <w:rFonts w:cstheme="minorHAnsi"/>
                <w:sz w:val="20"/>
                <w:szCs w:val="20"/>
              </w:rPr>
              <w:t xml:space="preserve">Ilya Klyachin, </w:t>
            </w:r>
            <w:r w:rsidR="00314775" w:rsidRPr="004A2738">
              <w:rPr>
                <w:rFonts w:cstheme="minorHAnsi"/>
                <w:sz w:val="20"/>
                <w:szCs w:val="20"/>
              </w:rPr>
              <w:t xml:space="preserve">Independent </w:t>
            </w:r>
            <w:r w:rsidR="00457EDE" w:rsidRPr="004A2738">
              <w:rPr>
                <w:rFonts w:cstheme="minorHAnsi"/>
                <w:sz w:val="20"/>
                <w:szCs w:val="20"/>
              </w:rPr>
              <w:t>N</w:t>
            </w:r>
            <w:r w:rsidRPr="004A2738">
              <w:rPr>
                <w:rFonts w:cstheme="minorHAnsi"/>
                <w:sz w:val="20"/>
                <w:szCs w:val="20"/>
              </w:rPr>
              <w:t xml:space="preserve">on-executive Director </w:t>
            </w:r>
          </w:p>
          <w:p w14:paraId="3857F1C7" w14:textId="77777777" w:rsidR="001B563C" w:rsidRPr="004A2738" w:rsidRDefault="001B563C" w:rsidP="008F511E">
            <w:pPr>
              <w:spacing w:line="276" w:lineRule="auto"/>
              <w:rPr>
                <w:rFonts w:cstheme="minorHAnsi"/>
                <w:sz w:val="20"/>
                <w:szCs w:val="20"/>
              </w:rPr>
            </w:pPr>
          </w:p>
          <w:p w14:paraId="0E455143" w14:textId="378DCB07" w:rsidR="007E030D" w:rsidRPr="004A2420" w:rsidRDefault="001B563C" w:rsidP="008F511E">
            <w:pPr>
              <w:spacing w:line="276" w:lineRule="auto"/>
              <w:rPr>
                <w:rFonts w:cstheme="minorHAnsi"/>
                <w:i/>
                <w:iCs/>
                <w:sz w:val="20"/>
                <w:szCs w:val="20"/>
              </w:rPr>
            </w:pPr>
            <w:r w:rsidRPr="004A2420">
              <w:rPr>
                <w:rFonts w:cstheme="minorHAnsi"/>
                <w:i/>
                <w:iCs/>
                <w:sz w:val="20"/>
                <w:szCs w:val="20"/>
              </w:rPr>
              <w:t>Thomas Edward Keen, Non-executive Director (resigning upon Admission)</w:t>
            </w:r>
          </w:p>
          <w:p w14:paraId="451C0745" w14:textId="47B6D129" w:rsidR="007E030D" w:rsidRPr="004A2738" w:rsidRDefault="007E030D" w:rsidP="008F511E">
            <w:pPr>
              <w:spacing w:line="276" w:lineRule="auto"/>
              <w:rPr>
                <w:rFonts w:cstheme="minorHAnsi"/>
                <w:sz w:val="20"/>
                <w:szCs w:val="20"/>
              </w:rPr>
            </w:pPr>
          </w:p>
        </w:tc>
      </w:tr>
      <w:tr w:rsidR="00C320A1" w:rsidRPr="004A2738" w14:paraId="451C0748" w14:textId="77777777" w:rsidTr="004A2738">
        <w:tc>
          <w:tcPr>
            <w:tcW w:w="5000" w:type="pct"/>
            <w:shd w:val="clear" w:color="auto" w:fill="D9D9D9" w:themeFill="background1" w:themeFillShade="D9"/>
          </w:tcPr>
          <w:p w14:paraId="451C0747" w14:textId="77777777" w:rsidR="00C320A1" w:rsidRPr="004A2738" w:rsidRDefault="00C320A1" w:rsidP="008F511E">
            <w:pPr>
              <w:spacing w:line="276" w:lineRule="auto"/>
              <w:rPr>
                <w:rFonts w:cstheme="minorHAnsi"/>
                <w:b/>
                <w:sz w:val="20"/>
                <w:szCs w:val="20"/>
              </w:rPr>
            </w:pPr>
            <w:r w:rsidRPr="004A2738">
              <w:rPr>
                <w:rFonts w:cstheme="minorHAnsi"/>
                <w:b/>
                <w:sz w:val="20"/>
                <w:szCs w:val="20"/>
              </w:rPr>
              <w:t>APPLICANT SECTOR:</w:t>
            </w:r>
          </w:p>
        </w:tc>
      </w:tr>
      <w:tr w:rsidR="00C320A1" w:rsidRPr="004A2738" w14:paraId="451C074A" w14:textId="77777777" w:rsidTr="004A2738">
        <w:tc>
          <w:tcPr>
            <w:tcW w:w="5000" w:type="pct"/>
          </w:tcPr>
          <w:p w14:paraId="256159C0" w14:textId="52918641" w:rsidR="00D545C3" w:rsidRPr="004A2738" w:rsidRDefault="00240043" w:rsidP="008F511E">
            <w:pPr>
              <w:spacing w:line="276" w:lineRule="auto"/>
              <w:rPr>
                <w:rFonts w:cstheme="minorHAnsi"/>
                <w:sz w:val="20"/>
                <w:szCs w:val="20"/>
              </w:rPr>
            </w:pPr>
            <w:r w:rsidRPr="004A2738">
              <w:rPr>
                <w:rFonts w:cstheme="minorHAnsi"/>
                <w:sz w:val="20"/>
                <w:szCs w:val="20"/>
              </w:rPr>
              <w:t>Information Technology</w:t>
            </w:r>
          </w:p>
          <w:p w14:paraId="451C0749" w14:textId="11647F63" w:rsidR="001B563C" w:rsidRPr="004A2738" w:rsidRDefault="001B563C" w:rsidP="008F511E">
            <w:pPr>
              <w:spacing w:line="276" w:lineRule="auto"/>
              <w:rPr>
                <w:rFonts w:cstheme="minorHAnsi"/>
                <w:sz w:val="20"/>
                <w:szCs w:val="20"/>
              </w:rPr>
            </w:pPr>
          </w:p>
        </w:tc>
      </w:tr>
      <w:tr w:rsidR="00C320A1" w:rsidRPr="004A2738" w14:paraId="451C074C" w14:textId="77777777" w:rsidTr="004A2738">
        <w:tc>
          <w:tcPr>
            <w:tcW w:w="5000" w:type="pct"/>
            <w:shd w:val="clear" w:color="auto" w:fill="D9D9D9" w:themeFill="background1" w:themeFillShade="D9"/>
          </w:tcPr>
          <w:p w14:paraId="451C074B" w14:textId="77777777" w:rsidR="00C320A1" w:rsidRPr="004A2738" w:rsidRDefault="00C320A1" w:rsidP="008F511E">
            <w:pPr>
              <w:spacing w:line="276" w:lineRule="auto"/>
              <w:rPr>
                <w:rFonts w:cstheme="minorHAnsi"/>
                <w:b/>
                <w:sz w:val="20"/>
                <w:szCs w:val="20"/>
              </w:rPr>
            </w:pPr>
            <w:r w:rsidRPr="004A2738">
              <w:rPr>
                <w:rFonts w:cstheme="minorHAnsi"/>
                <w:b/>
                <w:sz w:val="20"/>
                <w:szCs w:val="20"/>
              </w:rPr>
              <w:t>DESCRIPTION OF THE APPLICANT AND ITS ACTIVITIES:</w:t>
            </w:r>
          </w:p>
        </w:tc>
      </w:tr>
      <w:tr w:rsidR="00C320A1" w:rsidRPr="004A2738" w14:paraId="451C074E" w14:textId="77777777" w:rsidTr="004A2738">
        <w:tc>
          <w:tcPr>
            <w:tcW w:w="5000" w:type="pct"/>
          </w:tcPr>
          <w:p w14:paraId="0ADEA1FD" w14:textId="64B9D3F4" w:rsidR="00957697" w:rsidRPr="00957697" w:rsidRDefault="00957697" w:rsidP="00957697">
            <w:pPr>
              <w:pStyle w:val="pjustify"/>
              <w:keepLines/>
              <w:widowControl w:val="0"/>
              <w:spacing w:line="276" w:lineRule="auto"/>
              <w:rPr>
                <w:rFonts w:asciiTheme="minorHAnsi" w:hAnsiTheme="minorHAnsi" w:cstheme="minorHAnsi"/>
              </w:rPr>
            </w:pPr>
            <w:r w:rsidRPr="00957697">
              <w:rPr>
                <w:rFonts w:asciiTheme="minorHAnsi" w:hAnsiTheme="minorHAnsi" w:cstheme="minorHAnsi"/>
              </w:rPr>
              <w:t xml:space="preserve">Sterling Digital plc was incorporated in England and Wales on 11 June 2025 for the purpose of establishing a Bitcoin mining business. The Company intends to locate modular, self-contained Bitcoin mining operations directly on stranded gas fields in the United States, </w:t>
            </w:r>
            <w:r w:rsidR="00FC4D16">
              <w:rPr>
                <w:rFonts w:asciiTheme="minorHAnsi" w:hAnsiTheme="minorHAnsi" w:cstheme="minorHAnsi"/>
              </w:rPr>
              <w:t>providing the Company with a</w:t>
            </w:r>
            <w:r w:rsidRPr="00957697">
              <w:rPr>
                <w:rFonts w:asciiTheme="minorHAnsi" w:hAnsiTheme="minorHAnsi" w:cstheme="minorHAnsi"/>
              </w:rPr>
              <w:t xml:space="preserve"> low-cost energy </w:t>
            </w:r>
            <w:r w:rsidR="006F0EBB">
              <w:rPr>
                <w:rFonts w:asciiTheme="minorHAnsi" w:hAnsiTheme="minorHAnsi" w:cstheme="minorHAnsi"/>
              </w:rPr>
              <w:t>solution for its mining operations</w:t>
            </w:r>
            <w:r w:rsidRPr="00957697">
              <w:rPr>
                <w:rFonts w:asciiTheme="minorHAnsi" w:hAnsiTheme="minorHAnsi" w:cstheme="minorHAnsi"/>
              </w:rPr>
              <w:t>.</w:t>
            </w:r>
          </w:p>
          <w:p w14:paraId="19F92C99" w14:textId="77777777" w:rsidR="00957697" w:rsidRPr="00957697" w:rsidRDefault="00957697" w:rsidP="00664BC5">
            <w:pPr>
              <w:pStyle w:val="pjustify"/>
              <w:keepLines/>
              <w:widowControl w:val="0"/>
              <w:spacing w:line="240" w:lineRule="auto"/>
              <w:rPr>
                <w:rFonts w:asciiTheme="minorHAnsi" w:hAnsiTheme="minorHAnsi" w:cstheme="minorHAnsi"/>
              </w:rPr>
            </w:pPr>
          </w:p>
          <w:p w14:paraId="07309A37" w14:textId="77777777" w:rsidR="00957697" w:rsidRDefault="00957697" w:rsidP="00664BC5">
            <w:pPr>
              <w:pStyle w:val="pjustify"/>
              <w:keepLines/>
              <w:widowControl w:val="0"/>
              <w:spacing w:line="240" w:lineRule="auto"/>
              <w:rPr>
                <w:rFonts w:asciiTheme="minorHAnsi" w:hAnsiTheme="minorHAnsi" w:cstheme="minorHAnsi"/>
              </w:rPr>
            </w:pPr>
            <w:r w:rsidRPr="00957697">
              <w:rPr>
                <w:rFonts w:asciiTheme="minorHAnsi" w:hAnsiTheme="minorHAnsi" w:cstheme="minorHAnsi"/>
              </w:rPr>
              <w:t>The Company’s objective is to deliver sustainable long-term capital growth for shareholders via:</w:t>
            </w:r>
          </w:p>
          <w:p w14:paraId="6E98DF08" w14:textId="77777777" w:rsidR="00957697" w:rsidRPr="00957697" w:rsidRDefault="00957697" w:rsidP="00664BC5">
            <w:pPr>
              <w:pStyle w:val="pjustify"/>
              <w:keepLines/>
              <w:widowControl w:val="0"/>
              <w:numPr>
                <w:ilvl w:val="0"/>
                <w:numId w:val="4"/>
              </w:numPr>
              <w:spacing w:line="240" w:lineRule="auto"/>
              <w:ind w:firstLine="0"/>
              <w:rPr>
                <w:rFonts w:asciiTheme="minorHAnsi" w:hAnsiTheme="minorHAnsi" w:cstheme="minorHAnsi"/>
              </w:rPr>
            </w:pPr>
            <w:r w:rsidRPr="00957697">
              <w:rPr>
                <w:rFonts w:asciiTheme="minorHAnsi" w:hAnsiTheme="minorHAnsi" w:cstheme="minorHAnsi"/>
              </w:rPr>
              <w:t>compounding Bitcoin exposure via cheapest-in-class mining; and</w:t>
            </w:r>
          </w:p>
          <w:p w14:paraId="79B138CE" w14:textId="77777777" w:rsidR="00957697" w:rsidRDefault="00957697" w:rsidP="00664BC5">
            <w:pPr>
              <w:pStyle w:val="pjustify"/>
              <w:keepLines/>
              <w:widowControl w:val="0"/>
              <w:numPr>
                <w:ilvl w:val="0"/>
                <w:numId w:val="4"/>
              </w:numPr>
              <w:spacing w:line="240" w:lineRule="auto"/>
              <w:ind w:firstLine="0"/>
              <w:rPr>
                <w:rFonts w:asciiTheme="minorHAnsi" w:hAnsiTheme="minorHAnsi" w:cstheme="minorHAnsi"/>
              </w:rPr>
            </w:pPr>
            <w:r w:rsidRPr="00957697">
              <w:rPr>
                <w:rFonts w:asciiTheme="minorHAnsi" w:hAnsiTheme="minorHAnsi" w:cstheme="minorHAnsi"/>
              </w:rPr>
              <w:t>active management of the Company’s Bitcoin reserves.</w:t>
            </w:r>
          </w:p>
          <w:p w14:paraId="1EDD1D44" w14:textId="77777777" w:rsidR="00957697" w:rsidRPr="00957697" w:rsidRDefault="00957697" w:rsidP="00664BC5">
            <w:pPr>
              <w:pStyle w:val="pjustify"/>
              <w:keepLines/>
              <w:widowControl w:val="0"/>
              <w:spacing w:line="240" w:lineRule="auto"/>
              <w:rPr>
                <w:rFonts w:asciiTheme="minorHAnsi" w:hAnsiTheme="minorHAnsi" w:cstheme="minorHAnsi"/>
              </w:rPr>
            </w:pPr>
            <w:r w:rsidRPr="00957697">
              <w:rPr>
                <w:rFonts w:asciiTheme="minorHAnsi" w:hAnsiTheme="minorHAnsi" w:cstheme="minorHAnsi"/>
              </w:rPr>
              <w:t>Sterling Digital’s strategy of utilising stranded natural gas to generate its electricity requirements enables the Company to produce Bitcoin at materially lower costs than comparable grid-connected miners, while simultaneously achieving ESG alignment by monetising gas resources that are otherwise flared as a by-product of the oil and gas industry. This model delivers both enhanced mining efficiency and a significant competitive cost advantage within the Bitcoin mining sector.</w:t>
            </w:r>
          </w:p>
          <w:p w14:paraId="23B878DF" w14:textId="77777777" w:rsidR="00957697" w:rsidRPr="00957697" w:rsidRDefault="00957697" w:rsidP="00957697">
            <w:pPr>
              <w:pStyle w:val="pjustify"/>
              <w:keepLines/>
              <w:widowControl w:val="0"/>
              <w:spacing w:line="276" w:lineRule="auto"/>
              <w:rPr>
                <w:rFonts w:asciiTheme="minorHAnsi" w:hAnsiTheme="minorHAnsi" w:cstheme="minorHAnsi"/>
              </w:rPr>
            </w:pPr>
          </w:p>
          <w:p w14:paraId="649C2216" w14:textId="28A976F0" w:rsidR="00A74162" w:rsidRPr="004A2738" w:rsidRDefault="00957697" w:rsidP="00A74162">
            <w:pPr>
              <w:pStyle w:val="pjustify"/>
              <w:keepLines/>
              <w:widowControl w:val="0"/>
              <w:spacing w:line="276" w:lineRule="auto"/>
              <w:rPr>
                <w:rFonts w:asciiTheme="minorHAnsi" w:hAnsiTheme="minorHAnsi" w:cstheme="minorHAnsi"/>
              </w:rPr>
            </w:pPr>
            <w:r w:rsidRPr="00957697">
              <w:rPr>
                <w:rFonts w:asciiTheme="minorHAnsi" w:hAnsiTheme="minorHAnsi" w:cstheme="minorHAnsi"/>
              </w:rPr>
              <w:t>The Company benefits from a highly experienced management team with proven track records across Bitcoin mining, energy management, fintech and capital markets. Their combined expertise spans modular mining deployments, power infrastructure, capital raising, and regulated crypto exchange operations.</w:t>
            </w:r>
          </w:p>
          <w:p w14:paraId="451C074D" w14:textId="612738C9" w:rsidR="008F511E" w:rsidRPr="004A2738" w:rsidRDefault="008F511E" w:rsidP="008F511E">
            <w:pPr>
              <w:spacing w:line="276" w:lineRule="auto"/>
              <w:jc w:val="both"/>
              <w:textAlignment w:val="baseline"/>
              <w:rPr>
                <w:rFonts w:eastAsia="Arial" w:cstheme="minorHAnsi"/>
                <w:color w:val="000000"/>
                <w:sz w:val="20"/>
                <w:szCs w:val="20"/>
              </w:rPr>
            </w:pPr>
          </w:p>
        </w:tc>
      </w:tr>
      <w:tr w:rsidR="00C320A1" w:rsidRPr="004A2738" w14:paraId="451C0750" w14:textId="77777777" w:rsidTr="004A2738">
        <w:tc>
          <w:tcPr>
            <w:tcW w:w="5000" w:type="pct"/>
            <w:shd w:val="clear" w:color="auto" w:fill="D9D9D9" w:themeFill="background1" w:themeFillShade="D9"/>
          </w:tcPr>
          <w:p w14:paraId="451C074F" w14:textId="75485B28" w:rsidR="00C320A1" w:rsidRPr="004A2738" w:rsidRDefault="00C320A1" w:rsidP="008F511E">
            <w:pPr>
              <w:spacing w:line="276" w:lineRule="auto"/>
              <w:rPr>
                <w:rFonts w:cstheme="minorHAnsi"/>
                <w:b/>
                <w:sz w:val="20"/>
                <w:szCs w:val="20"/>
              </w:rPr>
            </w:pPr>
            <w:r w:rsidRPr="004A2738">
              <w:rPr>
                <w:rFonts w:cstheme="minorHAnsi"/>
                <w:b/>
                <w:sz w:val="20"/>
                <w:szCs w:val="20"/>
              </w:rPr>
              <w:t xml:space="preserve">NAME OF </w:t>
            </w:r>
            <w:r w:rsidR="00CB61CD" w:rsidRPr="004A2738">
              <w:rPr>
                <w:rFonts w:cstheme="minorHAnsi"/>
                <w:b/>
                <w:sz w:val="20"/>
                <w:szCs w:val="20"/>
              </w:rPr>
              <w:t>AQSE</w:t>
            </w:r>
            <w:r w:rsidRPr="004A2738">
              <w:rPr>
                <w:rFonts w:cstheme="minorHAnsi"/>
                <w:b/>
                <w:sz w:val="20"/>
                <w:szCs w:val="20"/>
              </w:rPr>
              <w:t xml:space="preserve"> CORPORATE ADVISER:</w:t>
            </w:r>
          </w:p>
        </w:tc>
      </w:tr>
      <w:tr w:rsidR="00C320A1" w:rsidRPr="004A2738" w14:paraId="451C0752" w14:textId="77777777" w:rsidTr="004A2738">
        <w:tc>
          <w:tcPr>
            <w:tcW w:w="5000" w:type="pct"/>
          </w:tcPr>
          <w:p w14:paraId="2430F2D6" w14:textId="57FDD985" w:rsidR="00645F76" w:rsidRPr="004A2738" w:rsidRDefault="001B563C" w:rsidP="008F511E">
            <w:pPr>
              <w:spacing w:line="276" w:lineRule="auto"/>
              <w:rPr>
                <w:rFonts w:cstheme="minorHAnsi"/>
                <w:sz w:val="20"/>
                <w:szCs w:val="20"/>
              </w:rPr>
            </w:pPr>
            <w:r w:rsidRPr="004A2738">
              <w:rPr>
                <w:rFonts w:cstheme="minorHAnsi"/>
                <w:sz w:val="20"/>
                <w:szCs w:val="20"/>
              </w:rPr>
              <w:t>Cairn Financial Advisers LLP</w:t>
            </w:r>
          </w:p>
          <w:p w14:paraId="451C0751" w14:textId="0E2BD5D8" w:rsidR="001B563C" w:rsidRPr="004A2738" w:rsidRDefault="001B563C" w:rsidP="008F511E">
            <w:pPr>
              <w:spacing w:line="276" w:lineRule="auto"/>
              <w:rPr>
                <w:rFonts w:cstheme="minorHAnsi"/>
                <w:sz w:val="20"/>
                <w:szCs w:val="20"/>
              </w:rPr>
            </w:pPr>
          </w:p>
        </w:tc>
      </w:tr>
      <w:tr w:rsidR="00C320A1" w:rsidRPr="004A2738" w14:paraId="451C0754" w14:textId="77777777" w:rsidTr="004A2738">
        <w:tc>
          <w:tcPr>
            <w:tcW w:w="5000" w:type="pct"/>
            <w:shd w:val="clear" w:color="auto" w:fill="D9D9D9" w:themeFill="background1" w:themeFillShade="D9"/>
          </w:tcPr>
          <w:p w14:paraId="451C0753" w14:textId="77777777" w:rsidR="00C320A1" w:rsidRPr="004A2738" w:rsidRDefault="00C320A1" w:rsidP="008F511E">
            <w:pPr>
              <w:spacing w:line="276" w:lineRule="auto"/>
              <w:rPr>
                <w:rFonts w:cstheme="minorHAnsi"/>
                <w:b/>
                <w:sz w:val="20"/>
                <w:szCs w:val="20"/>
              </w:rPr>
            </w:pPr>
            <w:r w:rsidRPr="004A2738">
              <w:rPr>
                <w:rFonts w:cstheme="minorHAnsi"/>
                <w:b/>
                <w:sz w:val="20"/>
                <w:szCs w:val="20"/>
              </w:rPr>
              <w:lastRenderedPageBreak/>
              <w:t>NUMBER, CLASS AND PAR VALUE OF SECURITIES TO BE ADMITTED:</w:t>
            </w:r>
          </w:p>
        </w:tc>
      </w:tr>
      <w:tr w:rsidR="00C320A1" w:rsidRPr="004A2738" w14:paraId="451C0756" w14:textId="77777777" w:rsidTr="004A2738">
        <w:tc>
          <w:tcPr>
            <w:tcW w:w="5000" w:type="pct"/>
          </w:tcPr>
          <w:p w14:paraId="267CE771" w14:textId="7F4786C9" w:rsidR="00645F76" w:rsidRPr="004A2738" w:rsidRDefault="0060713A" w:rsidP="008F511E">
            <w:pPr>
              <w:spacing w:line="276" w:lineRule="auto"/>
              <w:rPr>
                <w:rFonts w:cstheme="minorHAnsi"/>
                <w:sz w:val="20"/>
                <w:szCs w:val="20"/>
              </w:rPr>
            </w:pPr>
            <w:r w:rsidRPr="004A2738">
              <w:rPr>
                <w:rFonts w:cstheme="minorHAnsi"/>
                <w:sz w:val="20"/>
                <w:szCs w:val="20"/>
              </w:rPr>
              <w:t>TBC</w:t>
            </w:r>
            <w:r w:rsidR="00A60FB9" w:rsidRPr="004A2738">
              <w:rPr>
                <w:rFonts w:cstheme="minorHAnsi"/>
                <w:sz w:val="20"/>
                <w:szCs w:val="20"/>
              </w:rPr>
              <w:t xml:space="preserve"> of £0.0</w:t>
            </w:r>
            <w:r w:rsidR="009B6721" w:rsidRPr="004A2738">
              <w:rPr>
                <w:rFonts w:cstheme="minorHAnsi"/>
                <w:sz w:val="20"/>
                <w:szCs w:val="20"/>
              </w:rPr>
              <w:t>0</w:t>
            </w:r>
            <w:r w:rsidR="00A60FB9" w:rsidRPr="004A2738">
              <w:rPr>
                <w:rFonts w:cstheme="minorHAnsi"/>
                <w:sz w:val="20"/>
                <w:szCs w:val="20"/>
              </w:rPr>
              <w:t>1 each</w:t>
            </w:r>
          </w:p>
          <w:p w14:paraId="451C0755" w14:textId="13963605" w:rsidR="001B563C" w:rsidRPr="004A2738" w:rsidRDefault="001B563C" w:rsidP="008F511E">
            <w:pPr>
              <w:spacing w:line="276" w:lineRule="auto"/>
              <w:rPr>
                <w:rFonts w:cstheme="minorHAnsi"/>
                <w:sz w:val="20"/>
                <w:szCs w:val="20"/>
              </w:rPr>
            </w:pPr>
          </w:p>
        </w:tc>
      </w:tr>
      <w:tr w:rsidR="00C320A1" w:rsidRPr="004A2738" w14:paraId="451C0758" w14:textId="77777777" w:rsidTr="004A2738">
        <w:tc>
          <w:tcPr>
            <w:tcW w:w="5000" w:type="pct"/>
            <w:shd w:val="clear" w:color="auto" w:fill="D9D9D9" w:themeFill="background1" w:themeFillShade="D9"/>
          </w:tcPr>
          <w:p w14:paraId="451C0757" w14:textId="77777777" w:rsidR="00C320A1" w:rsidRPr="004A2738" w:rsidRDefault="00C320A1" w:rsidP="008F511E">
            <w:pPr>
              <w:spacing w:line="276" w:lineRule="auto"/>
              <w:rPr>
                <w:rFonts w:cstheme="minorHAnsi"/>
                <w:b/>
                <w:sz w:val="20"/>
                <w:szCs w:val="20"/>
              </w:rPr>
            </w:pPr>
            <w:r w:rsidRPr="004A2738">
              <w:rPr>
                <w:rFonts w:cstheme="minorHAnsi"/>
                <w:b/>
                <w:sz w:val="20"/>
                <w:szCs w:val="20"/>
              </w:rPr>
              <w:t>SECURITIES IN PUBLIC HANDS AS A PERCENTAGE OF THE TOTAL NUMBER OF SECURITIES IN ISSUE (excluding securities held in treasury)</w:t>
            </w:r>
            <w:r w:rsidR="00CC0E0A" w:rsidRPr="004A2738">
              <w:rPr>
                <w:rFonts w:cstheme="minorHAnsi"/>
                <w:b/>
                <w:sz w:val="20"/>
                <w:szCs w:val="20"/>
              </w:rPr>
              <w:t>:</w:t>
            </w:r>
          </w:p>
        </w:tc>
      </w:tr>
      <w:tr w:rsidR="00C320A1" w:rsidRPr="004A2738" w14:paraId="451C075A" w14:textId="77777777" w:rsidTr="004A2738">
        <w:tc>
          <w:tcPr>
            <w:tcW w:w="5000" w:type="pct"/>
          </w:tcPr>
          <w:p w14:paraId="4472BC3A" w14:textId="7DF340DF" w:rsidR="00645F76" w:rsidRPr="004A2738" w:rsidRDefault="000E620E" w:rsidP="008F511E">
            <w:pPr>
              <w:spacing w:line="276" w:lineRule="auto"/>
              <w:rPr>
                <w:rFonts w:cstheme="minorHAnsi"/>
                <w:sz w:val="20"/>
                <w:szCs w:val="20"/>
              </w:rPr>
            </w:pPr>
            <w:r w:rsidRPr="004A2738">
              <w:rPr>
                <w:rFonts w:cstheme="minorHAnsi"/>
                <w:sz w:val="20"/>
                <w:szCs w:val="20"/>
              </w:rPr>
              <w:t>TBC</w:t>
            </w:r>
          </w:p>
          <w:p w14:paraId="451C0759" w14:textId="7F14B954" w:rsidR="000E620E" w:rsidRPr="004A2738" w:rsidRDefault="000E620E" w:rsidP="008F511E">
            <w:pPr>
              <w:spacing w:line="276" w:lineRule="auto"/>
              <w:rPr>
                <w:rFonts w:cstheme="minorHAnsi"/>
                <w:sz w:val="20"/>
                <w:szCs w:val="20"/>
              </w:rPr>
            </w:pPr>
          </w:p>
        </w:tc>
      </w:tr>
      <w:tr w:rsidR="00C320A1" w:rsidRPr="004A2738" w14:paraId="451C075C" w14:textId="77777777" w:rsidTr="004A2738">
        <w:tc>
          <w:tcPr>
            <w:tcW w:w="5000" w:type="pct"/>
            <w:shd w:val="clear" w:color="auto" w:fill="D9D9D9" w:themeFill="background1" w:themeFillShade="D9"/>
          </w:tcPr>
          <w:p w14:paraId="451C075B" w14:textId="77777777" w:rsidR="00C320A1" w:rsidRPr="004A2738" w:rsidRDefault="00C320A1" w:rsidP="008F511E">
            <w:pPr>
              <w:spacing w:line="276" w:lineRule="auto"/>
              <w:rPr>
                <w:rFonts w:cstheme="minorHAnsi"/>
                <w:b/>
                <w:sz w:val="20"/>
                <w:szCs w:val="20"/>
              </w:rPr>
            </w:pPr>
            <w:r w:rsidRPr="004A2738">
              <w:rPr>
                <w:rFonts w:cstheme="minorHAnsi"/>
                <w:b/>
                <w:sz w:val="20"/>
                <w:szCs w:val="20"/>
              </w:rPr>
              <w:t xml:space="preserve">SHAREHOLDERS </w:t>
            </w:r>
            <w:r w:rsidR="00D06BBF" w:rsidRPr="004A2738">
              <w:rPr>
                <w:rFonts w:cstheme="minorHAnsi"/>
                <w:b/>
                <w:sz w:val="20"/>
                <w:szCs w:val="20"/>
              </w:rPr>
              <w:t>HOLDING</w:t>
            </w:r>
            <w:r w:rsidRPr="004A2738">
              <w:rPr>
                <w:rFonts w:cstheme="minorHAnsi"/>
                <w:b/>
                <w:sz w:val="20"/>
                <w:szCs w:val="20"/>
              </w:rPr>
              <w:t xml:space="preserve"> MORE THAN FIVE PER</w:t>
            </w:r>
            <w:r w:rsidR="00D06BBF" w:rsidRPr="004A2738">
              <w:rPr>
                <w:rFonts w:cstheme="minorHAnsi"/>
                <w:b/>
                <w:sz w:val="20"/>
                <w:szCs w:val="20"/>
              </w:rPr>
              <w:t xml:space="preserve"> </w:t>
            </w:r>
            <w:r w:rsidRPr="004A2738">
              <w:rPr>
                <w:rFonts w:cstheme="minorHAnsi"/>
                <w:b/>
                <w:sz w:val="20"/>
                <w:szCs w:val="20"/>
              </w:rPr>
              <w:t>CENT OF THE APPLICANT’S SHARE CAPITAL OR VOTING RIGHTS PRE</w:t>
            </w:r>
            <w:r w:rsidR="008874C9" w:rsidRPr="004A2738">
              <w:rPr>
                <w:rFonts w:cstheme="minorHAnsi"/>
                <w:b/>
                <w:sz w:val="20"/>
                <w:szCs w:val="20"/>
              </w:rPr>
              <w:t>-</w:t>
            </w:r>
            <w:r w:rsidRPr="004A2738">
              <w:rPr>
                <w:rFonts w:cstheme="minorHAnsi"/>
                <w:b/>
                <w:sz w:val="20"/>
                <w:szCs w:val="20"/>
              </w:rPr>
              <w:t xml:space="preserve"> AND POST-ADMISSION</w:t>
            </w:r>
            <w:r w:rsidR="00CC0E0A" w:rsidRPr="004A2738">
              <w:rPr>
                <w:rFonts w:cstheme="minorHAnsi"/>
                <w:b/>
                <w:sz w:val="20"/>
                <w:szCs w:val="20"/>
              </w:rPr>
              <w:t>:</w:t>
            </w:r>
          </w:p>
        </w:tc>
      </w:tr>
      <w:tr w:rsidR="00C320A1" w:rsidRPr="004A2738" w14:paraId="451C075E" w14:textId="77777777" w:rsidTr="004A2738">
        <w:tc>
          <w:tcPr>
            <w:tcW w:w="5000" w:type="pct"/>
          </w:tcPr>
          <w:p w14:paraId="6E5F981F" w14:textId="77777777" w:rsidR="00C320A1" w:rsidRPr="004A2738" w:rsidRDefault="00C320A1" w:rsidP="008F511E">
            <w:pPr>
              <w:spacing w:line="276" w:lineRule="auto"/>
              <w:rPr>
                <w:rFonts w:cstheme="minorHAnsi"/>
                <w:sz w:val="20"/>
                <w:szCs w:val="2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68"/>
              <w:gridCol w:w="2544"/>
              <w:gridCol w:w="1979"/>
            </w:tblGrid>
            <w:tr w:rsidR="006D6FDA" w:rsidRPr="004A2738" w14:paraId="0131DF58" w14:textId="77777777" w:rsidTr="00B23870">
              <w:trPr>
                <w:trHeight w:val="20"/>
              </w:trPr>
              <w:tc>
                <w:tcPr>
                  <w:tcW w:w="3968" w:type="dxa"/>
                </w:tcPr>
                <w:p w14:paraId="1C78B73E" w14:textId="4B044F9D" w:rsidR="006D6FDA" w:rsidRPr="004A2738" w:rsidRDefault="00E076F1" w:rsidP="008F511E">
                  <w:pPr>
                    <w:pStyle w:val="TableParagraph"/>
                    <w:spacing w:line="276" w:lineRule="auto"/>
                    <w:ind w:left="55"/>
                    <w:rPr>
                      <w:rFonts w:eastAsia="Times New Roman" w:cstheme="minorHAnsi"/>
                      <w:b/>
                      <w:sz w:val="20"/>
                      <w:szCs w:val="20"/>
                    </w:rPr>
                  </w:pPr>
                  <w:r w:rsidRPr="004A2738">
                    <w:rPr>
                      <w:rFonts w:eastAsia="Times New Roman" w:cstheme="minorHAnsi"/>
                      <w:b/>
                      <w:sz w:val="20"/>
                      <w:szCs w:val="20"/>
                    </w:rPr>
                    <w:t>Shareholder</w:t>
                  </w:r>
                </w:p>
              </w:tc>
              <w:tc>
                <w:tcPr>
                  <w:tcW w:w="2544" w:type="dxa"/>
                </w:tcPr>
                <w:p w14:paraId="5E1A7540" w14:textId="5389E604" w:rsidR="006D6FDA" w:rsidRPr="004A2738" w:rsidRDefault="00E076F1" w:rsidP="00EF2C16">
                  <w:pPr>
                    <w:pStyle w:val="TableParagraph"/>
                    <w:spacing w:line="276" w:lineRule="auto"/>
                    <w:ind w:left="1500" w:right="170" w:hanging="915"/>
                    <w:jc w:val="right"/>
                    <w:rPr>
                      <w:rFonts w:eastAsia="Times New Roman" w:cstheme="minorHAnsi"/>
                      <w:b/>
                      <w:sz w:val="20"/>
                      <w:szCs w:val="20"/>
                    </w:rPr>
                  </w:pPr>
                  <w:r w:rsidRPr="004A2738">
                    <w:rPr>
                      <w:rFonts w:eastAsia="Times New Roman" w:cstheme="minorHAnsi"/>
                      <w:b/>
                      <w:sz w:val="20"/>
                      <w:szCs w:val="20"/>
                    </w:rPr>
                    <w:t>Pre</w:t>
                  </w:r>
                  <w:r w:rsidR="00C52174" w:rsidRPr="004A2738">
                    <w:rPr>
                      <w:rFonts w:eastAsia="Times New Roman" w:cstheme="minorHAnsi"/>
                      <w:b/>
                      <w:sz w:val="20"/>
                      <w:szCs w:val="20"/>
                    </w:rPr>
                    <w:t>-Admission (%)</w:t>
                  </w:r>
                </w:p>
              </w:tc>
              <w:tc>
                <w:tcPr>
                  <w:tcW w:w="1979" w:type="dxa"/>
                </w:tcPr>
                <w:p w14:paraId="38110D24" w14:textId="6F3E18F7" w:rsidR="006D6FDA" w:rsidRPr="004A2738" w:rsidRDefault="00C52174" w:rsidP="00EF2C16">
                  <w:pPr>
                    <w:pStyle w:val="TableParagraph"/>
                    <w:spacing w:line="276" w:lineRule="auto"/>
                    <w:ind w:left="57" w:right="170"/>
                    <w:jc w:val="right"/>
                    <w:rPr>
                      <w:rFonts w:eastAsia="Times New Roman" w:cstheme="minorHAnsi"/>
                      <w:b/>
                      <w:sz w:val="20"/>
                      <w:szCs w:val="20"/>
                    </w:rPr>
                  </w:pPr>
                  <w:r w:rsidRPr="004A2738">
                    <w:rPr>
                      <w:rFonts w:eastAsia="Times New Roman" w:cstheme="minorHAnsi"/>
                      <w:b/>
                      <w:sz w:val="20"/>
                      <w:szCs w:val="20"/>
                    </w:rPr>
                    <w:t>Post-Admission(%)</w:t>
                  </w:r>
                </w:p>
              </w:tc>
            </w:tr>
            <w:tr w:rsidR="00B23870" w:rsidRPr="004A2738" w14:paraId="22DDE366" w14:textId="77777777" w:rsidTr="00B23870">
              <w:trPr>
                <w:trHeight w:val="20"/>
              </w:trPr>
              <w:tc>
                <w:tcPr>
                  <w:tcW w:w="3968" w:type="dxa"/>
                </w:tcPr>
                <w:p w14:paraId="5908512C" w14:textId="1A6367A8"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Stefan Paris Michaelides</w:t>
                  </w:r>
                </w:p>
              </w:tc>
              <w:tc>
                <w:tcPr>
                  <w:tcW w:w="2544" w:type="dxa"/>
                  <w:vAlign w:val="center"/>
                </w:tcPr>
                <w:p w14:paraId="2F1EF4DB" w14:textId="4AC6BDD3"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27.1%</w:t>
                  </w:r>
                </w:p>
              </w:tc>
              <w:tc>
                <w:tcPr>
                  <w:tcW w:w="1979" w:type="dxa"/>
                </w:tcPr>
                <w:p w14:paraId="51A4304D" w14:textId="398D661F"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r w:rsidR="00B23870" w:rsidRPr="004A2738" w14:paraId="69415C79" w14:textId="77777777" w:rsidTr="00B23870">
              <w:trPr>
                <w:trHeight w:val="20"/>
              </w:trPr>
              <w:tc>
                <w:tcPr>
                  <w:tcW w:w="3968" w:type="dxa"/>
                  <w:vAlign w:val="bottom"/>
                </w:tcPr>
                <w:p w14:paraId="632668DA" w14:textId="2ED4C5C1"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Dragan Jovanovic</w:t>
                  </w:r>
                </w:p>
              </w:tc>
              <w:tc>
                <w:tcPr>
                  <w:tcW w:w="2544" w:type="dxa"/>
                  <w:vAlign w:val="center"/>
                </w:tcPr>
                <w:p w14:paraId="539150C8" w14:textId="08DB373B"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27.1%</w:t>
                  </w:r>
                </w:p>
              </w:tc>
              <w:tc>
                <w:tcPr>
                  <w:tcW w:w="1979" w:type="dxa"/>
                </w:tcPr>
                <w:p w14:paraId="08D4DD7B" w14:textId="3A508B95"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r w:rsidR="00B23870" w:rsidRPr="004A2738" w14:paraId="198D2237" w14:textId="77777777" w:rsidTr="00B23870">
              <w:trPr>
                <w:trHeight w:val="20"/>
              </w:trPr>
              <w:tc>
                <w:tcPr>
                  <w:tcW w:w="3968" w:type="dxa"/>
                  <w:vAlign w:val="bottom"/>
                </w:tcPr>
                <w:p w14:paraId="66366924" w14:textId="33B35AC6"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Stephen Clarke</w:t>
                  </w:r>
                </w:p>
              </w:tc>
              <w:tc>
                <w:tcPr>
                  <w:tcW w:w="2544" w:type="dxa"/>
                  <w:vAlign w:val="center"/>
                </w:tcPr>
                <w:p w14:paraId="506C7D64" w14:textId="79746A99"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8.3%</w:t>
                  </w:r>
                </w:p>
              </w:tc>
              <w:tc>
                <w:tcPr>
                  <w:tcW w:w="1979" w:type="dxa"/>
                </w:tcPr>
                <w:p w14:paraId="6D135412" w14:textId="3F07B729"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r w:rsidR="00B23870" w:rsidRPr="004A2738" w14:paraId="0A68FF63" w14:textId="77777777" w:rsidTr="00B23870">
              <w:trPr>
                <w:trHeight w:val="20"/>
              </w:trPr>
              <w:tc>
                <w:tcPr>
                  <w:tcW w:w="3968" w:type="dxa"/>
                  <w:vAlign w:val="bottom"/>
                </w:tcPr>
                <w:p w14:paraId="230709A1" w14:textId="02AE39B9"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John Clarke</w:t>
                  </w:r>
                </w:p>
              </w:tc>
              <w:tc>
                <w:tcPr>
                  <w:tcW w:w="2544" w:type="dxa"/>
                  <w:vAlign w:val="center"/>
                </w:tcPr>
                <w:p w14:paraId="60093609" w14:textId="2F85758F"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8.3%</w:t>
                  </w:r>
                </w:p>
              </w:tc>
              <w:tc>
                <w:tcPr>
                  <w:tcW w:w="1979" w:type="dxa"/>
                </w:tcPr>
                <w:p w14:paraId="5C6ADB39" w14:textId="260A662E"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r w:rsidR="00B23870" w:rsidRPr="004A2738" w14:paraId="3DB1FA62" w14:textId="77777777" w:rsidTr="00B23870">
              <w:trPr>
                <w:trHeight w:val="20"/>
              </w:trPr>
              <w:tc>
                <w:tcPr>
                  <w:tcW w:w="3968" w:type="dxa"/>
                  <w:vAlign w:val="bottom"/>
                </w:tcPr>
                <w:p w14:paraId="47B09556" w14:textId="70E90EE0"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Jerome Keen</w:t>
                  </w:r>
                </w:p>
              </w:tc>
              <w:tc>
                <w:tcPr>
                  <w:tcW w:w="2544" w:type="dxa"/>
                  <w:vAlign w:val="center"/>
                </w:tcPr>
                <w:p w14:paraId="5C5DCC3F" w14:textId="2FB77188"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8.3%</w:t>
                  </w:r>
                </w:p>
              </w:tc>
              <w:tc>
                <w:tcPr>
                  <w:tcW w:w="1979" w:type="dxa"/>
                </w:tcPr>
                <w:p w14:paraId="15717C15" w14:textId="77FEB4B8"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r w:rsidR="00B23870" w:rsidRPr="004A2738" w14:paraId="4B32D513" w14:textId="77777777" w:rsidTr="00B23870">
              <w:trPr>
                <w:trHeight w:val="20"/>
              </w:trPr>
              <w:tc>
                <w:tcPr>
                  <w:tcW w:w="3968" w:type="dxa"/>
                  <w:vAlign w:val="bottom"/>
                </w:tcPr>
                <w:p w14:paraId="664A4F33" w14:textId="37EC88B6"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Damion Carruel</w:t>
                  </w:r>
                </w:p>
              </w:tc>
              <w:tc>
                <w:tcPr>
                  <w:tcW w:w="2544" w:type="dxa"/>
                  <w:vAlign w:val="center"/>
                </w:tcPr>
                <w:p w14:paraId="4BCD38A2" w14:textId="1953EB14"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8.3%</w:t>
                  </w:r>
                </w:p>
              </w:tc>
              <w:tc>
                <w:tcPr>
                  <w:tcW w:w="1979" w:type="dxa"/>
                </w:tcPr>
                <w:p w14:paraId="1B028847" w14:textId="0167F806"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r w:rsidR="00B23870" w:rsidRPr="004A2738" w14:paraId="55A10E66" w14:textId="77777777" w:rsidTr="00B23870">
              <w:trPr>
                <w:trHeight w:val="20"/>
              </w:trPr>
              <w:tc>
                <w:tcPr>
                  <w:tcW w:w="3968" w:type="dxa"/>
                  <w:vAlign w:val="bottom"/>
                </w:tcPr>
                <w:p w14:paraId="5A7F0B00" w14:textId="084576BA"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Thomas Keen</w:t>
                  </w:r>
                </w:p>
              </w:tc>
              <w:tc>
                <w:tcPr>
                  <w:tcW w:w="2544" w:type="dxa"/>
                  <w:vAlign w:val="center"/>
                </w:tcPr>
                <w:p w14:paraId="56D5F72F" w14:textId="73129C04"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5.2%</w:t>
                  </w:r>
                </w:p>
              </w:tc>
              <w:tc>
                <w:tcPr>
                  <w:tcW w:w="1979" w:type="dxa"/>
                </w:tcPr>
                <w:p w14:paraId="6978AD66" w14:textId="0CA2B75A"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r w:rsidR="00B23870" w:rsidRPr="004A2738" w14:paraId="562D2FA4" w14:textId="77777777" w:rsidTr="00B23870">
              <w:trPr>
                <w:trHeight w:val="20"/>
              </w:trPr>
              <w:tc>
                <w:tcPr>
                  <w:tcW w:w="3968" w:type="dxa"/>
                  <w:vAlign w:val="bottom"/>
                </w:tcPr>
                <w:p w14:paraId="23D5BC83" w14:textId="6BE8716B" w:rsidR="00B23870" w:rsidRPr="004A2738" w:rsidRDefault="00B23870" w:rsidP="00B23870">
                  <w:pPr>
                    <w:pStyle w:val="TableParagraph"/>
                    <w:spacing w:line="276" w:lineRule="auto"/>
                    <w:ind w:left="55"/>
                    <w:rPr>
                      <w:rFonts w:cstheme="minorHAnsi"/>
                      <w:sz w:val="20"/>
                      <w:szCs w:val="20"/>
                    </w:rPr>
                  </w:pPr>
                  <w:r w:rsidRPr="004A2738">
                    <w:rPr>
                      <w:rFonts w:cstheme="minorHAnsi"/>
                      <w:sz w:val="20"/>
                      <w:szCs w:val="20"/>
                    </w:rPr>
                    <w:t>Guy Winterflood</w:t>
                  </w:r>
                </w:p>
              </w:tc>
              <w:tc>
                <w:tcPr>
                  <w:tcW w:w="2544" w:type="dxa"/>
                  <w:vAlign w:val="center"/>
                </w:tcPr>
                <w:p w14:paraId="59ADA017" w14:textId="6E950FC7" w:rsidR="00B23870" w:rsidRPr="004A2738" w:rsidRDefault="00B23870" w:rsidP="00B23870">
                  <w:pPr>
                    <w:pStyle w:val="TableParagraph"/>
                    <w:spacing w:line="276" w:lineRule="auto"/>
                    <w:ind w:left="57" w:right="170"/>
                    <w:jc w:val="right"/>
                    <w:rPr>
                      <w:rFonts w:cstheme="minorHAnsi"/>
                      <w:sz w:val="20"/>
                      <w:szCs w:val="20"/>
                    </w:rPr>
                  </w:pPr>
                  <w:r w:rsidRPr="00B23870">
                    <w:rPr>
                      <w:rFonts w:cstheme="minorHAnsi"/>
                      <w:sz w:val="20"/>
                      <w:szCs w:val="20"/>
                    </w:rPr>
                    <w:t>4.2%</w:t>
                  </w:r>
                </w:p>
              </w:tc>
              <w:tc>
                <w:tcPr>
                  <w:tcW w:w="1979" w:type="dxa"/>
                </w:tcPr>
                <w:p w14:paraId="74E37C87" w14:textId="5960C1E0" w:rsidR="00B23870" w:rsidRPr="004A2738" w:rsidRDefault="00B23870" w:rsidP="00B23870">
                  <w:pPr>
                    <w:pStyle w:val="TableParagraph"/>
                    <w:spacing w:line="276" w:lineRule="auto"/>
                    <w:ind w:left="57" w:right="170"/>
                    <w:jc w:val="right"/>
                    <w:rPr>
                      <w:rFonts w:cstheme="minorHAnsi"/>
                      <w:sz w:val="20"/>
                      <w:szCs w:val="20"/>
                    </w:rPr>
                  </w:pPr>
                  <w:r w:rsidRPr="004A2738">
                    <w:rPr>
                      <w:rFonts w:cstheme="minorHAnsi"/>
                      <w:sz w:val="20"/>
                      <w:szCs w:val="20"/>
                    </w:rPr>
                    <w:t>TBC</w:t>
                  </w:r>
                </w:p>
              </w:tc>
            </w:tr>
          </w:tbl>
          <w:p w14:paraId="451C075D" w14:textId="6C23162B" w:rsidR="00645F76" w:rsidRPr="004A2738" w:rsidRDefault="00645F76" w:rsidP="008F511E">
            <w:pPr>
              <w:spacing w:line="276" w:lineRule="auto"/>
              <w:rPr>
                <w:rFonts w:cstheme="minorHAnsi"/>
                <w:sz w:val="20"/>
                <w:szCs w:val="20"/>
              </w:rPr>
            </w:pPr>
          </w:p>
        </w:tc>
      </w:tr>
      <w:tr w:rsidR="00C320A1" w:rsidRPr="004A2738" w14:paraId="451C0760" w14:textId="77777777" w:rsidTr="004A2738">
        <w:tc>
          <w:tcPr>
            <w:tcW w:w="5000" w:type="pct"/>
            <w:shd w:val="clear" w:color="auto" w:fill="D9D9D9" w:themeFill="background1" w:themeFillShade="D9"/>
          </w:tcPr>
          <w:p w14:paraId="451C075F" w14:textId="6334CE6B" w:rsidR="00C320A1" w:rsidRPr="004A2738" w:rsidRDefault="00C320A1" w:rsidP="008F511E">
            <w:pPr>
              <w:spacing w:line="276" w:lineRule="auto"/>
              <w:rPr>
                <w:rFonts w:cstheme="minorHAnsi"/>
                <w:b/>
                <w:sz w:val="20"/>
                <w:szCs w:val="20"/>
              </w:rPr>
            </w:pPr>
            <w:r w:rsidRPr="004A2738">
              <w:rPr>
                <w:rFonts w:cstheme="minorHAnsi"/>
                <w:b/>
                <w:sz w:val="20"/>
                <w:szCs w:val="20"/>
              </w:rPr>
              <w:t>TIMETABLE FOR ANY OFFER OF TRANSFERABLE SECURITIES TO THE PUBLIC</w:t>
            </w:r>
            <w:r w:rsidR="00CC0E0A" w:rsidRPr="004A2738">
              <w:rPr>
                <w:rFonts w:cstheme="minorHAnsi"/>
                <w:b/>
                <w:sz w:val="20"/>
                <w:szCs w:val="20"/>
              </w:rPr>
              <w:t>:</w:t>
            </w:r>
          </w:p>
        </w:tc>
      </w:tr>
      <w:tr w:rsidR="00C320A1" w:rsidRPr="004A2738" w14:paraId="451C0762" w14:textId="77777777" w:rsidTr="004A2738">
        <w:tc>
          <w:tcPr>
            <w:tcW w:w="5000" w:type="pct"/>
          </w:tcPr>
          <w:p w14:paraId="734E6829" w14:textId="06E7F5EC" w:rsidR="007E030D" w:rsidRPr="004A2738" w:rsidRDefault="00077939" w:rsidP="008F511E">
            <w:pPr>
              <w:spacing w:line="276" w:lineRule="auto"/>
              <w:rPr>
                <w:rFonts w:cstheme="minorHAnsi"/>
                <w:sz w:val="20"/>
                <w:szCs w:val="20"/>
              </w:rPr>
            </w:pPr>
            <w:r>
              <w:rPr>
                <w:rFonts w:cstheme="minorHAnsi"/>
                <w:sz w:val="20"/>
                <w:szCs w:val="20"/>
              </w:rPr>
              <w:t>TBC</w:t>
            </w:r>
          </w:p>
          <w:p w14:paraId="451C0761" w14:textId="327C5F0C" w:rsidR="00C401D3" w:rsidRPr="004A2738" w:rsidRDefault="00C401D3" w:rsidP="008F511E">
            <w:pPr>
              <w:spacing w:line="276" w:lineRule="auto"/>
              <w:rPr>
                <w:rFonts w:cstheme="minorHAnsi"/>
                <w:sz w:val="20"/>
                <w:szCs w:val="20"/>
              </w:rPr>
            </w:pPr>
          </w:p>
        </w:tc>
      </w:tr>
      <w:tr w:rsidR="00CC0E0A" w:rsidRPr="004A2738" w14:paraId="451C0764" w14:textId="77777777" w:rsidTr="004A2738">
        <w:tc>
          <w:tcPr>
            <w:tcW w:w="5000" w:type="pct"/>
            <w:shd w:val="clear" w:color="auto" w:fill="D9D9D9" w:themeFill="background1" w:themeFillShade="D9"/>
          </w:tcPr>
          <w:p w14:paraId="451C0763" w14:textId="77777777" w:rsidR="00CC0E0A" w:rsidRPr="004A2738" w:rsidRDefault="00CC0E0A" w:rsidP="008F511E">
            <w:pPr>
              <w:spacing w:line="276" w:lineRule="auto"/>
              <w:rPr>
                <w:rFonts w:cstheme="minorHAnsi"/>
                <w:b/>
                <w:sz w:val="20"/>
                <w:szCs w:val="20"/>
                <w:lang w:val="en-US"/>
              </w:rPr>
            </w:pPr>
            <w:r w:rsidRPr="004A2738">
              <w:rPr>
                <w:rFonts w:cstheme="minorHAnsi"/>
                <w:b/>
                <w:sz w:val="20"/>
                <w:szCs w:val="20"/>
              </w:rPr>
              <w:t xml:space="preserve">THE </w:t>
            </w:r>
            <w:r w:rsidR="00D06BBF" w:rsidRPr="004A2738">
              <w:rPr>
                <w:rFonts w:cstheme="minorHAnsi"/>
                <w:b/>
                <w:sz w:val="20"/>
                <w:szCs w:val="20"/>
              </w:rPr>
              <w:t>EXPECTED</w:t>
            </w:r>
            <w:r w:rsidRPr="004A2738">
              <w:rPr>
                <w:rFonts w:cstheme="minorHAnsi"/>
                <w:b/>
                <w:sz w:val="20"/>
                <w:szCs w:val="20"/>
              </w:rPr>
              <w:t xml:space="preserve"> ADMISSION DATE:</w:t>
            </w:r>
          </w:p>
        </w:tc>
      </w:tr>
      <w:tr w:rsidR="00CC0E0A" w:rsidRPr="004A2738" w14:paraId="451C0766" w14:textId="77777777" w:rsidTr="004A2738">
        <w:tc>
          <w:tcPr>
            <w:tcW w:w="5000" w:type="pct"/>
          </w:tcPr>
          <w:p w14:paraId="1FDFF3F8" w14:textId="31CD8D42" w:rsidR="00D545C3" w:rsidRPr="004A2738" w:rsidRDefault="00AE275D" w:rsidP="008F511E">
            <w:pPr>
              <w:spacing w:line="276" w:lineRule="auto"/>
              <w:rPr>
                <w:rFonts w:cstheme="minorHAnsi"/>
                <w:sz w:val="20"/>
                <w:szCs w:val="20"/>
              </w:rPr>
            </w:pPr>
            <w:r w:rsidRPr="00122D81">
              <w:rPr>
                <w:rFonts w:cstheme="minorHAnsi"/>
                <w:sz w:val="20"/>
                <w:szCs w:val="20"/>
              </w:rPr>
              <w:t xml:space="preserve">On or </w:t>
            </w:r>
            <w:r w:rsidR="00C35E8A" w:rsidRPr="00122D81">
              <w:rPr>
                <w:rFonts w:cstheme="minorHAnsi"/>
                <w:sz w:val="20"/>
                <w:szCs w:val="20"/>
              </w:rPr>
              <w:t xml:space="preserve">around </w:t>
            </w:r>
            <w:r w:rsidR="00B23870">
              <w:rPr>
                <w:rFonts w:cstheme="minorHAnsi"/>
                <w:sz w:val="20"/>
                <w:szCs w:val="20"/>
              </w:rPr>
              <w:t>4 November</w:t>
            </w:r>
            <w:r w:rsidR="001B563C" w:rsidRPr="00122D81">
              <w:rPr>
                <w:rFonts w:cstheme="minorHAnsi"/>
                <w:sz w:val="20"/>
                <w:szCs w:val="20"/>
              </w:rPr>
              <w:t xml:space="preserve"> 2025</w:t>
            </w:r>
          </w:p>
          <w:p w14:paraId="451C0765" w14:textId="704AB86D" w:rsidR="007E030D" w:rsidRPr="004A2738" w:rsidRDefault="007E030D" w:rsidP="008F511E">
            <w:pPr>
              <w:spacing w:line="276" w:lineRule="auto"/>
              <w:rPr>
                <w:rFonts w:cstheme="minorHAnsi"/>
                <w:sz w:val="20"/>
                <w:szCs w:val="20"/>
              </w:rPr>
            </w:pPr>
          </w:p>
        </w:tc>
      </w:tr>
      <w:tr w:rsidR="00C320A1" w:rsidRPr="004A2738" w14:paraId="451C0768" w14:textId="77777777" w:rsidTr="004A2738">
        <w:tc>
          <w:tcPr>
            <w:tcW w:w="5000" w:type="pct"/>
            <w:shd w:val="clear" w:color="auto" w:fill="D9D9D9" w:themeFill="background1" w:themeFillShade="D9"/>
          </w:tcPr>
          <w:p w14:paraId="451C0767" w14:textId="77777777" w:rsidR="00C320A1" w:rsidRPr="004A2738" w:rsidRDefault="00C320A1" w:rsidP="008F511E">
            <w:pPr>
              <w:spacing w:line="276" w:lineRule="auto"/>
              <w:rPr>
                <w:rFonts w:cstheme="minorHAnsi"/>
                <w:b/>
                <w:sz w:val="20"/>
                <w:szCs w:val="20"/>
              </w:rPr>
            </w:pPr>
            <w:r w:rsidRPr="004A2738">
              <w:rPr>
                <w:rFonts w:cstheme="minorHAnsi"/>
                <w:b/>
                <w:sz w:val="20"/>
                <w:szCs w:val="20"/>
                <w:lang w:val="en-US"/>
              </w:rPr>
              <w:t xml:space="preserve">WEBSITE </w:t>
            </w:r>
            <w:r w:rsidR="00CC0E0A" w:rsidRPr="004A2738">
              <w:rPr>
                <w:rFonts w:cstheme="minorHAnsi"/>
                <w:b/>
                <w:sz w:val="20"/>
                <w:szCs w:val="20"/>
                <w:lang w:val="en-US"/>
              </w:rPr>
              <w:t xml:space="preserve">ADDRESS </w:t>
            </w:r>
            <w:r w:rsidRPr="004A2738">
              <w:rPr>
                <w:rFonts w:cstheme="minorHAnsi"/>
                <w:b/>
                <w:sz w:val="20"/>
                <w:szCs w:val="20"/>
                <w:lang w:val="en-US"/>
              </w:rPr>
              <w:t xml:space="preserve">WHERE </w:t>
            </w:r>
            <w:r w:rsidR="00CC0E0A" w:rsidRPr="004A2738">
              <w:rPr>
                <w:rFonts w:cstheme="minorHAnsi"/>
                <w:b/>
                <w:sz w:val="20"/>
                <w:szCs w:val="20"/>
                <w:lang w:val="en-US"/>
              </w:rPr>
              <w:t xml:space="preserve">INVESTOR INFORMATION </w:t>
            </w:r>
            <w:r w:rsidR="001E427E" w:rsidRPr="004A2738">
              <w:rPr>
                <w:rFonts w:cstheme="minorHAnsi"/>
                <w:b/>
                <w:sz w:val="20"/>
                <w:szCs w:val="20"/>
                <w:lang w:val="en-US"/>
              </w:rPr>
              <w:t>WILL BE</w:t>
            </w:r>
            <w:r w:rsidRPr="004A2738">
              <w:rPr>
                <w:rFonts w:cstheme="minorHAnsi"/>
                <w:b/>
                <w:sz w:val="20"/>
                <w:szCs w:val="20"/>
                <w:lang w:val="en-US"/>
              </w:rPr>
              <w:t xml:space="preserve"> AVAILABLE FOR INSPECTION</w:t>
            </w:r>
            <w:r w:rsidR="00CC0E0A" w:rsidRPr="004A2738">
              <w:rPr>
                <w:rFonts w:cstheme="minorHAnsi"/>
                <w:b/>
                <w:sz w:val="20"/>
                <w:szCs w:val="20"/>
                <w:lang w:val="en-US"/>
              </w:rPr>
              <w:t>:</w:t>
            </w:r>
          </w:p>
        </w:tc>
      </w:tr>
      <w:tr w:rsidR="00C320A1" w:rsidRPr="004A2738" w14:paraId="451C076A" w14:textId="77777777" w:rsidTr="004A2738">
        <w:tc>
          <w:tcPr>
            <w:tcW w:w="5000" w:type="pct"/>
          </w:tcPr>
          <w:p w14:paraId="0E4A9B34" w14:textId="6C091177" w:rsidR="00D545C3" w:rsidRPr="004A2738" w:rsidRDefault="009B49A4" w:rsidP="008F511E">
            <w:pPr>
              <w:spacing w:line="276" w:lineRule="auto"/>
              <w:rPr>
                <w:rFonts w:cstheme="minorHAnsi"/>
                <w:sz w:val="20"/>
                <w:szCs w:val="20"/>
              </w:rPr>
            </w:pPr>
            <w:r>
              <w:rPr>
                <w:rFonts w:cstheme="minorHAnsi"/>
                <w:sz w:val="20"/>
                <w:szCs w:val="20"/>
              </w:rPr>
              <w:t>TBC</w:t>
            </w:r>
          </w:p>
          <w:p w14:paraId="451C0769" w14:textId="67BB13D8" w:rsidR="007E030D" w:rsidRPr="004A2738" w:rsidRDefault="007E030D" w:rsidP="008F511E">
            <w:pPr>
              <w:spacing w:line="276" w:lineRule="auto"/>
              <w:rPr>
                <w:rFonts w:cstheme="minorHAnsi"/>
                <w:sz w:val="20"/>
                <w:szCs w:val="20"/>
              </w:rPr>
            </w:pPr>
          </w:p>
        </w:tc>
      </w:tr>
      <w:tr w:rsidR="001F751B" w:rsidRPr="004A2738" w14:paraId="451C076E" w14:textId="77777777" w:rsidTr="004A2738">
        <w:tc>
          <w:tcPr>
            <w:tcW w:w="5000" w:type="pct"/>
          </w:tcPr>
          <w:p w14:paraId="451C076B" w14:textId="77777777" w:rsidR="001F751B" w:rsidRPr="004A2738" w:rsidRDefault="001F751B" w:rsidP="008F511E">
            <w:pPr>
              <w:spacing w:line="276" w:lineRule="auto"/>
              <w:rPr>
                <w:rFonts w:cstheme="minorHAnsi"/>
                <w:i/>
                <w:sz w:val="20"/>
                <w:szCs w:val="20"/>
              </w:rPr>
            </w:pPr>
          </w:p>
          <w:p w14:paraId="451C076C" w14:textId="77777777" w:rsidR="001F751B" w:rsidRPr="004A2738" w:rsidRDefault="001F751B" w:rsidP="008F511E">
            <w:pPr>
              <w:spacing w:line="276" w:lineRule="auto"/>
              <w:rPr>
                <w:rFonts w:cstheme="minorHAnsi"/>
                <w:i/>
                <w:sz w:val="20"/>
                <w:szCs w:val="20"/>
              </w:rPr>
            </w:pPr>
            <w:r w:rsidRPr="004A2738">
              <w:rPr>
                <w:rFonts w:cstheme="minorHAnsi"/>
                <w:i/>
                <w:sz w:val="20"/>
                <w:szCs w:val="20"/>
              </w:rPr>
              <w:t>In respect of a fast-track applicant, the following information should also be included:</w:t>
            </w:r>
          </w:p>
          <w:p w14:paraId="451C076D" w14:textId="77777777" w:rsidR="001F751B" w:rsidRPr="004A2738" w:rsidRDefault="001F751B" w:rsidP="008F511E">
            <w:pPr>
              <w:spacing w:line="276" w:lineRule="auto"/>
              <w:rPr>
                <w:rFonts w:cstheme="minorHAnsi"/>
                <w:sz w:val="20"/>
                <w:szCs w:val="20"/>
              </w:rPr>
            </w:pPr>
          </w:p>
        </w:tc>
      </w:tr>
      <w:tr w:rsidR="001F751B" w:rsidRPr="004A2738" w14:paraId="451C0770" w14:textId="77777777" w:rsidTr="004A2738">
        <w:tc>
          <w:tcPr>
            <w:tcW w:w="5000" w:type="pct"/>
            <w:shd w:val="clear" w:color="auto" w:fill="D9D9D9" w:themeFill="background1" w:themeFillShade="D9"/>
          </w:tcPr>
          <w:p w14:paraId="451C076F" w14:textId="77777777" w:rsidR="001F751B" w:rsidRPr="004A2738" w:rsidRDefault="001F751B" w:rsidP="008F511E">
            <w:pPr>
              <w:spacing w:line="276" w:lineRule="auto"/>
              <w:rPr>
                <w:rFonts w:cstheme="minorHAnsi"/>
                <w:b/>
                <w:sz w:val="20"/>
                <w:szCs w:val="20"/>
              </w:rPr>
            </w:pPr>
            <w:r w:rsidRPr="004A2738">
              <w:rPr>
                <w:rFonts w:cstheme="minorHAnsi"/>
                <w:b/>
                <w:sz w:val="20"/>
                <w:szCs w:val="20"/>
              </w:rPr>
              <w:t>NAME OF MARKET ON WHICH THE APPLICANT’S SECURITIES ARE CURRENTLY TRADED:</w:t>
            </w:r>
          </w:p>
        </w:tc>
      </w:tr>
      <w:tr w:rsidR="001F751B" w:rsidRPr="004A2738" w14:paraId="451C0772" w14:textId="77777777" w:rsidTr="004A2738">
        <w:tc>
          <w:tcPr>
            <w:tcW w:w="5000" w:type="pct"/>
            <w:shd w:val="clear" w:color="auto" w:fill="FFFFFF" w:themeFill="background1"/>
          </w:tcPr>
          <w:p w14:paraId="5856AB03" w14:textId="2B7AD061" w:rsidR="007E030D" w:rsidRPr="004A2738" w:rsidRDefault="007E030D" w:rsidP="008F511E">
            <w:pPr>
              <w:spacing w:line="276" w:lineRule="auto"/>
              <w:rPr>
                <w:rFonts w:cstheme="minorHAnsi"/>
                <w:bCs/>
                <w:sz w:val="20"/>
                <w:szCs w:val="20"/>
              </w:rPr>
            </w:pPr>
          </w:p>
          <w:p w14:paraId="451C0771" w14:textId="000F754F" w:rsidR="001B563C" w:rsidRPr="004A2738" w:rsidRDefault="001B563C" w:rsidP="008F511E">
            <w:pPr>
              <w:spacing w:line="276" w:lineRule="auto"/>
              <w:rPr>
                <w:rFonts w:cstheme="minorHAnsi"/>
                <w:bCs/>
                <w:sz w:val="20"/>
                <w:szCs w:val="20"/>
              </w:rPr>
            </w:pPr>
          </w:p>
        </w:tc>
      </w:tr>
      <w:tr w:rsidR="001F751B" w:rsidRPr="004A2738" w14:paraId="451C0774" w14:textId="77777777" w:rsidTr="004A2738">
        <w:tc>
          <w:tcPr>
            <w:tcW w:w="5000" w:type="pct"/>
            <w:shd w:val="clear" w:color="auto" w:fill="D9D9D9" w:themeFill="background1" w:themeFillShade="D9"/>
          </w:tcPr>
          <w:p w14:paraId="451C0773" w14:textId="77777777" w:rsidR="001F751B" w:rsidRPr="004A2738" w:rsidRDefault="001F751B" w:rsidP="008F511E">
            <w:pPr>
              <w:spacing w:line="276" w:lineRule="auto"/>
              <w:rPr>
                <w:rFonts w:cstheme="minorHAnsi"/>
                <w:b/>
                <w:sz w:val="20"/>
                <w:szCs w:val="20"/>
              </w:rPr>
            </w:pPr>
            <w:r w:rsidRPr="004A2738">
              <w:rPr>
                <w:rFonts w:cstheme="minorHAnsi"/>
                <w:b/>
                <w:sz w:val="20"/>
                <w:szCs w:val="20"/>
              </w:rPr>
              <w:t>ARRANGEMENTS FOR THE SETTLEMENT OF TRANSACTIONS IN THE APPLICANT’S SECURITIES:</w:t>
            </w:r>
          </w:p>
        </w:tc>
      </w:tr>
      <w:tr w:rsidR="001F751B" w:rsidRPr="004A2738" w14:paraId="451C0776" w14:textId="77777777" w:rsidTr="004A2738">
        <w:tc>
          <w:tcPr>
            <w:tcW w:w="5000" w:type="pct"/>
          </w:tcPr>
          <w:p w14:paraId="0EB4AB81" w14:textId="77777777" w:rsidR="007E030D" w:rsidRDefault="007E030D" w:rsidP="00111042">
            <w:pPr>
              <w:spacing w:line="276" w:lineRule="auto"/>
              <w:rPr>
                <w:rFonts w:cstheme="minorHAnsi"/>
                <w:sz w:val="20"/>
                <w:szCs w:val="20"/>
              </w:rPr>
            </w:pPr>
          </w:p>
          <w:p w14:paraId="451C0775" w14:textId="2193ABA8" w:rsidR="00111042" w:rsidRPr="004A2738" w:rsidRDefault="00111042" w:rsidP="00111042">
            <w:pPr>
              <w:spacing w:line="276" w:lineRule="auto"/>
              <w:rPr>
                <w:rFonts w:cstheme="minorHAnsi"/>
                <w:sz w:val="20"/>
                <w:szCs w:val="20"/>
              </w:rPr>
            </w:pPr>
          </w:p>
        </w:tc>
      </w:tr>
      <w:tr w:rsidR="001F751B" w:rsidRPr="004A2738" w14:paraId="451C0778" w14:textId="77777777" w:rsidTr="004A2738">
        <w:tc>
          <w:tcPr>
            <w:tcW w:w="5000" w:type="pct"/>
            <w:shd w:val="clear" w:color="auto" w:fill="D9D9D9" w:themeFill="background1" w:themeFillShade="D9"/>
          </w:tcPr>
          <w:p w14:paraId="451C0777" w14:textId="77777777" w:rsidR="001F751B" w:rsidRPr="004A2738" w:rsidRDefault="001F751B" w:rsidP="008F511E">
            <w:pPr>
              <w:spacing w:line="276" w:lineRule="auto"/>
              <w:rPr>
                <w:rFonts w:cstheme="minorHAnsi"/>
                <w:b/>
                <w:sz w:val="20"/>
                <w:szCs w:val="20"/>
                <w:highlight w:val="yellow"/>
              </w:rPr>
            </w:pPr>
            <w:r w:rsidRPr="004A2738">
              <w:rPr>
                <w:rFonts w:cstheme="minorHAnsi"/>
                <w:b/>
                <w:sz w:val="20"/>
                <w:szCs w:val="20"/>
              </w:rPr>
              <w:t>DETAILS OF ANY LOCK-IN ARRANGEMENTS:</w:t>
            </w:r>
          </w:p>
        </w:tc>
      </w:tr>
      <w:tr w:rsidR="001F751B" w:rsidRPr="004A2738" w14:paraId="451C077A" w14:textId="77777777" w:rsidTr="004A2738">
        <w:tc>
          <w:tcPr>
            <w:tcW w:w="5000" w:type="pct"/>
          </w:tcPr>
          <w:p w14:paraId="14CDF3BA" w14:textId="77777777" w:rsidR="007E030D" w:rsidRPr="004A2738" w:rsidRDefault="007E030D" w:rsidP="008F511E">
            <w:pPr>
              <w:spacing w:line="276" w:lineRule="auto"/>
              <w:rPr>
                <w:rFonts w:cstheme="minorHAnsi"/>
                <w:sz w:val="20"/>
                <w:szCs w:val="20"/>
              </w:rPr>
            </w:pPr>
          </w:p>
          <w:p w14:paraId="451C0779" w14:textId="058E8DA9" w:rsidR="001B563C" w:rsidRPr="004A2738" w:rsidRDefault="001B563C" w:rsidP="008F511E">
            <w:pPr>
              <w:spacing w:line="276" w:lineRule="auto"/>
              <w:rPr>
                <w:rFonts w:cstheme="minorHAnsi"/>
                <w:sz w:val="20"/>
                <w:szCs w:val="20"/>
              </w:rPr>
            </w:pPr>
          </w:p>
        </w:tc>
      </w:tr>
      <w:tr w:rsidR="001F751B" w:rsidRPr="004A2738" w14:paraId="451C077C" w14:textId="77777777" w:rsidTr="004A2738">
        <w:tc>
          <w:tcPr>
            <w:tcW w:w="5000" w:type="pct"/>
            <w:shd w:val="clear" w:color="auto" w:fill="D9D9D9" w:themeFill="background1" w:themeFillShade="D9"/>
          </w:tcPr>
          <w:p w14:paraId="451C077B" w14:textId="77777777" w:rsidR="001F751B" w:rsidRPr="004A2738" w:rsidRDefault="001F751B" w:rsidP="008F511E">
            <w:pPr>
              <w:spacing w:line="276" w:lineRule="auto"/>
              <w:rPr>
                <w:rFonts w:cstheme="minorHAnsi"/>
                <w:b/>
                <w:sz w:val="20"/>
                <w:szCs w:val="20"/>
              </w:rPr>
            </w:pPr>
            <w:r w:rsidRPr="004A2738">
              <w:rPr>
                <w:rFonts w:cstheme="minorHAnsi"/>
                <w:b/>
                <w:sz w:val="20"/>
                <w:szCs w:val="20"/>
              </w:rPr>
              <w:t>DETAILS OF THE LEGAL OR REGULATORY REQUIREMENTS IN THE APPLICANT’S HOME COUNTRY REGARDING THE CONDUCT OF TAKEOVERS AND THE ACQUISITION OF SIGNIFICANT VOTING RIGHTS TO WHICH THE APPLICANT IS SUBJECT:</w:t>
            </w:r>
          </w:p>
        </w:tc>
      </w:tr>
      <w:tr w:rsidR="001F751B" w:rsidRPr="004A2738" w14:paraId="451C077E" w14:textId="77777777" w:rsidTr="004A2738">
        <w:tc>
          <w:tcPr>
            <w:tcW w:w="5000" w:type="pct"/>
          </w:tcPr>
          <w:p w14:paraId="2ECFA37D" w14:textId="77777777" w:rsidR="007E030D" w:rsidRPr="004A2738" w:rsidRDefault="007E030D" w:rsidP="008F511E">
            <w:pPr>
              <w:spacing w:line="276" w:lineRule="auto"/>
              <w:rPr>
                <w:rFonts w:cstheme="minorHAnsi"/>
                <w:sz w:val="20"/>
                <w:szCs w:val="20"/>
              </w:rPr>
            </w:pPr>
          </w:p>
          <w:p w14:paraId="451C077D" w14:textId="6B3E5BCD" w:rsidR="001B563C" w:rsidRPr="004A2738" w:rsidRDefault="001B563C" w:rsidP="008F511E">
            <w:pPr>
              <w:spacing w:line="276" w:lineRule="auto"/>
              <w:rPr>
                <w:rFonts w:cstheme="minorHAnsi"/>
                <w:sz w:val="20"/>
                <w:szCs w:val="20"/>
              </w:rPr>
            </w:pPr>
          </w:p>
        </w:tc>
      </w:tr>
      <w:tr w:rsidR="001F751B" w:rsidRPr="004A2738" w14:paraId="451C0782" w14:textId="77777777" w:rsidTr="004A2738">
        <w:tc>
          <w:tcPr>
            <w:tcW w:w="5000" w:type="pct"/>
          </w:tcPr>
          <w:p w14:paraId="451C077F" w14:textId="77777777" w:rsidR="001F751B" w:rsidRPr="004A2738" w:rsidRDefault="001F751B" w:rsidP="008F511E">
            <w:pPr>
              <w:spacing w:line="276" w:lineRule="auto"/>
              <w:rPr>
                <w:rFonts w:cstheme="minorHAnsi"/>
                <w:i/>
                <w:sz w:val="20"/>
                <w:szCs w:val="20"/>
              </w:rPr>
            </w:pPr>
          </w:p>
          <w:p w14:paraId="451C0780" w14:textId="77777777" w:rsidR="001F751B" w:rsidRPr="004A2738" w:rsidRDefault="001F751B" w:rsidP="008F511E">
            <w:pPr>
              <w:spacing w:line="276" w:lineRule="auto"/>
              <w:rPr>
                <w:rFonts w:cstheme="minorHAnsi"/>
                <w:i/>
                <w:sz w:val="20"/>
                <w:szCs w:val="20"/>
              </w:rPr>
            </w:pPr>
            <w:r w:rsidRPr="004A2738">
              <w:rPr>
                <w:rFonts w:cstheme="minorHAnsi"/>
                <w:i/>
                <w:sz w:val="20"/>
                <w:szCs w:val="20"/>
              </w:rPr>
              <w:lastRenderedPageBreak/>
              <w:t>In respect of an update to a prior application announcement, the date of the original announcement should also be disclosed as follows:</w:t>
            </w:r>
          </w:p>
          <w:p w14:paraId="451C0781" w14:textId="77777777" w:rsidR="001F751B" w:rsidRPr="004A2738" w:rsidRDefault="001F751B" w:rsidP="008F511E">
            <w:pPr>
              <w:spacing w:line="276" w:lineRule="auto"/>
              <w:rPr>
                <w:rFonts w:cstheme="minorHAnsi"/>
                <w:i/>
                <w:sz w:val="20"/>
                <w:szCs w:val="20"/>
              </w:rPr>
            </w:pPr>
          </w:p>
        </w:tc>
      </w:tr>
      <w:tr w:rsidR="001F751B" w:rsidRPr="004A2738" w14:paraId="451C0784" w14:textId="77777777" w:rsidTr="004A2738">
        <w:tc>
          <w:tcPr>
            <w:tcW w:w="5000" w:type="pct"/>
            <w:shd w:val="clear" w:color="auto" w:fill="D9D9D9" w:themeFill="background1" w:themeFillShade="D9"/>
          </w:tcPr>
          <w:p w14:paraId="451C0783" w14:textId="77777777" w:rsidR="001F751B" w:rsidRPr="004A2738" w:rsidRDefault="001F751B" w:rsidP="008F511E">
            <w:pPr>
              <w:spacing w:line="276" w:lineRule="auto"/>
              <w:rPr>
                <w:rFonts w:cstheme="minorHAnsi"/>
                <w:sz w:val="20"/>
                <w:szCs w:val="20"/>
              </w:rPr>
            </w:pPr>
            <w:r w:rsidRPr="004A2738">
              <w:rPr>
                <w:rFonts w:cstheme="minorHAnsi"/>
                <w:b/>
                <w:sz w:val="20"/>
                <w:szCs w:val="20"/>
              </w:rPr>
              <w:lastRenderedPageBreak/>
              <w:t>UPDATE TO A PRIOR APPLICATION ANNOUNCEMENT RELEASED ON:</w:t>
            </w:r>
          </w:p>
        </w:tc>
      </w:tr>
      <w:tr w:rsidR="001F751B" w:rsidRPr="004A2738" w14:paraId="451C0786" w14:textId="77777777" w:rsidTr="004A2738">
        <w:tc>
          <w:tcPr>
            <w:tcW w:w="5000" w:type="pct"/>
          </w:tcPr>
          <w:p w14:paraId="4C904181" w14:textId="616EC59C" w:rsidR="001F751B" w:rsidRPr="004A2738" w:rsidRDefault="007E5123" w:rsidP="008F511E">
            <w:pPr>
              <w:spacing w:line="276" w:lineRule="auto"/>
              <w:rPr>
                <w:rFonts w:cstheme="minorHAnsi"/>
                <w:sz w:val="20"/>
                <w:szCs w:val="20"/>
              </w:rPr>
            </w:pPr>
            <w:r>
              <w:rPr>
                <w:rFonts w:cstheme="minorHAnsi"/>
                <w:sz w:val="20"/>
                <w:szCs w:val="20"/>
              </w:rPr>
              <w:t>10 October 2025</w:t>
            </w:r>
          </w:p>
          <w:p w14:paraId="451C0785" w14:textId="7860898E" w:rsidR="001B563C" w:rsidRPr="004A2738" w:rsidRDefault="001B563C" w:rsidP="008F511E">
            <w:pPr>
              <w:spacing w:line="276" w:lineRule="auto"/>
              <w:rPr>
                <w:rFonts w:cstheme="minorHAnsi"/>
                <w:sz w:val="20"/>
                <w:szCs w:val="20"/>
              </w:rPr>
            </w:pPr>
          </w:p>
        </w:tc>
      </w:tr>
    </w:tbl>
    <w:p w14:paraId="451C078C" w14:textId="77777777" w:rsidR="00B43664" w:rsidRPr="004A2738" w:rsidRDefault="00B43664" w:rsidP="008F511E">
      <w:pPr>
        <w:spacing w:after="0" w:line="276" w:lineRule="auto"/>
        <w:rPr>
          <w:sz w:val="20"/>
          <w:szCs w:val="20"/>
        </w:rPr>
      </w:pPr>
    </w:p>
    <w:sectPr w:rsidR="00B43664" w:rsidRPr="004A27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34"/>
    <w:multiLevelType w:val="hybridMultilevel"/>
    <w:tmpl w:val="4E18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E80AB1"/>
    <w:multiLevelType w:val="hybridMultilevel"/>
    <w:tmpl w:val="F078EAF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D9A15CE"/>
    <w:multiLevelType w:val="hybridMultilevel"/>
    <w:tmpl w:val="1AF6CC04"/>
    <w:lvl w:ilvl="0" w:tplc="F92A74D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E7957"/>
    <w:multiLevelType w:val="hybridMultilevel"/>
    <w:tmpl w:val="FAF6727A"/>
    <w:lvl w:ilvl="0" w:tplc="6C4ACD28">
      <w:start w:val="19"/>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976170">
    <w:abstractNumId w:val="1"/>
  </w:num>
  <w:num w:numId="2" w16cid:durableId="1826508261">
    <w:abstractNumId w:val="2"/>
  </w:num>
  <w:num w:numId="3" w16cid:durableId="681518019">
    <w:abstractNumId w:val="3"/>
  </w:num>
  <w:num w:numId="4" w16cid:durableId="98632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64"/>
    <w:rsid w:val="00006624"/>
    <w:rsid w:val="00021479"/>
    <w:rsid w:val="000302CA"/>
    <w:rsid w:val="00062603"/>
    <w:rsid w:val="00077939"/>
    <w:rsid w:val="0008544B"/>
    <w:rsid w:val="000A3FCE"/>
    <w:rsid w:val="000B29BE"/>
    <w:rsid w:val="000E620E"/>
    <w:rsid w:val="000F0898"/>
    <w:rsid w:val="00111042"/>
    <w:rsid w:val="00122D81"/>
    <w:rsid w:val="001342C8"/>
    <w:rsid w:val="001A1F3A"/>
    <w:rsid w:val="001B563C"/>
    <w:rsid w:val="001E427E"/>
    <w:rsid w:val="001F751B"/>
    <w:rsid w:val="00206D53"/>
    <w:rsid w:val="00240043"/>
    <w:rsid w:val="002651FB"/>
    <w:rsid w:val="00275827"/>
    <w:rsid w:val="002A5CBE"/>
    <w:rsid w:val="00314775"/>
    <w:rsid w:val="0031518F"/>
    <w:rsid w:val="0034549B"/>
    <w:rsid w:val="00365FB2"/>
    <w:rsid w:val="00383DA4"/>
    <w:rsid w:val="003961F6"/>
    <w:rsid w:val="003A0F92"/>
    <w:rsid w:val="003B192C"/>
    <w:rsid w:val="003D2A38"/>
    <w:rsid w:val="004138B6"/>
    <w:rsid w:val="00446394"/>
    <w:rsid w:val="00457EDE"/>
    <w:rsid w:val="00481299"/>
    <w:rsid w:val="004A2420"/>
    <w:rsid w:val="004A2738"/>
    <w:rsid w:val="004A5628"/>
    <w:rsid w:val="004E2344"/>
    <w:rsid w:val="004F2ABB"/>
    <w:rsid w:val="00500D20"/>
    <w:rsid w:val="00505033"/>
    <w:rsid w:val="00570F7D"/>
    <w:rsid w:val="005B5BC2"/>
    <w:rsid w:val="0060713A"/>
    <w:rsid w:val="006368FE"/>
    <w:rsid w:val="006443C2"/>
    <w:rsid w:val="00645F76"/>
    <w:rsid w:val="00660B11"/>
    <w:rsid w:val="00664BC5"/>
    <w:rsid w:val="006854A0"/>
    <w:rsid w:val="006A2B87"/>
    <w:rsid w:val="006D6FDA"/>
    <w:rsid w:val="006F0EBB"/>
    <w:rsid w:val="00724AF0"/>
    <w:rsid w:val="00761ACD"/>
    <w:rsid w:val="007870A4"/>
    <w:rsid w:val="0079358E"/>
    <w:rsid w:val="007B3516"/>
    <w:rsid w:val="007E030D"/>
    <w:rsid w:val="007E5123"/>
    <w:rsid w:val="0083064F"/>
    <w:rsid w:val="00856E4A"/>
    <w:rsid w:val="00871C62"/>
    <w:rsid w:val="008729B3"/>
    <w:rsid w:val="008801DD"/>
    <w:rsid w:val="008874C9"/>
    <w:rsid w:val="008C0DF6"/>
    <w:rsid w:val="008F511E"/>
    <w:rsid w:val="00907607"/>
    <w:rsid w:val="00921A0E"/>
    <w:rsid w:val="00952817"/>
    <w:rsid w:val="00956E17"/>
    <w:rsid w:val="00957697"/>
    <w:rsid w:val="009B081D"/>
    <w:rsid w:val="009B49A4"/>
    <w:rsid w:val="009B6721"/>
    <w:rsid w:val="009C4383"/>
    <w:rsid w:val="009D178E"/>
    <w:rsid w:val="00A60FB9"/>
    <w:rsid w:val="00A704D1"/>
    <w:rsid w:val="00A74162"/>
    <w:rsid w:val="00AC2C62"/>
    <w:rsid w:val="00AE275D"/>
    <w:rsid w:val="00B00906"/>
    <w:rsid w:val="00B159C7"/>
    <w:rsid w:val="00B201F4"/>
    <w:rsid w:val="00B210B2"/>
    <w:rsid w:val="00B23870"/>
    <w:rsid w:val="00B252E9"/>
    <w:rsid w:val="00B43664"/>
    <w:rsid w:val="00B57558"/>
    <w:rsid w:val="00B63A7A"/>
    <w:rsid w:val="00B8097B"/>
    <w:rsid w:val="00BB20B3"/>
    <w:rsid w:val="00C17DD2"/>
    <w:rsid w:val="00C320A1"/>
    <w:rsid w:val="00C35E8A"/>
    <w:rsid w:val="00C401D3"/>
    <w:rsid w:val="00C506A2"/>
    <w:rsid w:val="00C52174"/>
    <w:rsid w:val="00C62C09"/>
    <w:rsid w:val="00CA4D67"/>
    <w:rsid w:val="00CB61CD"/>
    <w:rsid w:val="00CC0E0A"/>
    <w:rsid w:val="00CF75B6"/>
    <w:rsid w:val="00D0623B"/>
    <w:rsid w:val="00D06BBF"/>
    <w:rsid w:val="00D11194"/>
    <w:rsid w:val="00D533D9"/>
    <w:rsid w:val="00D545C3"/>
    <w:rsid w:val="00D60737"/>
    <w:rsid w:val="00D614AC"/>
    <w:rsid w:val="00D729E7"/>
    <w:rsid w:val="00DC6768"/>
    <w:rsid w:val="00DE649C"/>
    <w:rsid w:val="00E076F1"/>
    <w:rsid w:val="00E118AF"/>
    <w:rsid w:val="00E13D21"/>
    <w:rsid w:val="00E17A5D"/>
    <w:rsid w:val="00E4208A"/>
    <w:rsid w:val="00E865F1"/>
    <w:rsid w:val="00EA085C"/>
    <w:rsid w:val="00EC29F4"/>
    <w:rsid w:val="00EC484F"/>
    <w:rsid w:val="00EF2C16"/>
    <w:rsid w:val="00F0093C"/>
    <w:rsid w:val="00F210A6"/>
    <w:rsid w:val="00F2187D"/>
    <w:rsid w:val="00F229F7"/>
    <w:rsid w:val="00F61CCD"/>
    <w:rsid w:val="00F94A54"/>
    <w:rsid w:val="00FB6662"/>
    <w:rsid w:val="00FB7B21"/>
    <w:rsid w:val="00FC4D16"/>
    <w:rsid w:val="00FC53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072F"/>
  <w15:chartTrackingRefBased/>
  <w15:docId w15:val="{A90D6969-DD39-48B0-82A6-C2D3613B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9D178E"/>
    <w:pPr>
      <w:keepNext/>
      <w:keepLines/>
      <w:pBdr>
        <w:top w:val="none" w:sz="0" w:space="10" w:color="auto"/>
        <w:left w:val="none" w:sz="0" w:space="10" w:color="auto"/>
        <w:bottom w:val="none" w:sz="0" w:space="10" w:color="auto"/>
        <w:right w:val="none" w:sz="0" w:space="10" w:color="auto"/>
      </w:pBdr>
      <w:spacing w:after="0" w:line="208" w:lineRule="atLeast"/>
      <w:outlineLvl w:val="7"/>
    </w:pPr>
    <w:rPr>
      <w:rFonts w:ascii="Arial" w:eastAsiaTheme="majorEastAsia" w:hAnsi="Arial" w:cstheme="majorBidi"/>
      <w:i/>
      <w:iCs/>
      <w:color w:val="272727" w:themeColor="text1" w:themeTint="D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B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BBF"/>
    <w:rPr>
      <w:rFonts w:ascii="Segoe UI" w:hAnsi="Segoe UI" w:cs="Segoe UI"/>
      <w:sz w:val="18"/>
      <w:szCs w:val="18"/>
    </w:rPr>
  </w:style>
  <w:style w:type="paragraph" w:customStyle="1" w:styleId="TableParagraph">
    <w:name w:val="Table Paragraph"/>
    <w:basedOn w:val="Normal"/>
    <w:uiPriority w:val="1"/>
    <w:qFormat/>
    <w:rsid w:val="000F0898"/>
    <w:pPr>
      <w:widowControl w:val="0"/>
      <w:spacing w:after="0" w:line="240" w:lineRule="auto"/>
    </w:pPr>
    <w:rPr>
      <w:sz w:val="24"/>
      <w:szCs w:val="24"/>
      <w:lang w:eastAsia="en-GB"/>
    </w:rPr>
  </w:style>
  <w:style w:type="character" w:styleId="Hyperlink">
    <w:name w:val="Hyperlink"/>
    <w:basedOn w:val="DefaultParagraphFont"/>
    <w:uiPriority w:val="99"/>
    <w:unhideWhenUsed/>
    <w:rsid w:val="007E030D"/>
    <w:rPr>
      <w:color w:val="0563C1" w:themeColor="hyperlink"/>
      <w:u w:val="single"/>
    </w:rPr>
  </w:style>
  <w:style w:type="character" w:styleId="UnresolvedMention">
    <w:name w:val="Unresolved Mention"/>
    <w:basedOn w:val="DefaultParagraphFont"/>
    <w:uiPriority w:val="99"/>
    <w:semiHidden/>
    <w:unhideWhenUsed/>
    <w:rsid w:val="007E030D"/>
    <w:rPr>
      <w:color w:val="605E5C"/>
      <w:shd w:val="clear" w:color="auto" w:fill="E1DFDD"/>
    </w:rPr>
  </w:style>
  <w:style w:type="paragraph" w:styleId="Revision">
    <w:name w:val="Revision"/>
    <w:hidden/>
    <w:uiPriority w:val="99"/>
    <w:semiHidden/>
    <w:rsid w:val="00761ACD"/>
    <w:pPr>
      <w:spacing w:after="0" w:line="240" w:lineRule="auto"/>
    </w:pPr>
  </w:style>
  <w:style w:type="paragraph" w:customStyle="1" w:styleId="pjustify">
    <w:name w:val="p_justify"/>
    <w:basedOn w:val="Normal"/>
    <w:rsid w:val="0079358E"/>
    <w:pPr>
      <w:pBdr>
        <w:top w:val="none" w:sz="0" w:space="10" w:color="auto"/>
        <w:left w:val="none" w:sz="0" w:space="10" w:color="auto"/>
        <w:bottom w:val="none" w:sz="0" w:space="10" w:color="auto"/>
        <w:right w:val="none" w:sz="0" w:space="10" w:color="auto"/>
      </w:pBdr>
      <w:spacing w:after="0" w:line="208" w:lineRule="atLeast"/>
      <w:jc w:val="both"/>
    </w:pPr>
    <w:rPr>
      <w:rFonts w:ascii="Arial" w:eastAsia="Arial" w:hAnsi="Arial" w:cs="Arial"/>
      <w:color w:val="000000"/>
      <w:sz w:val="20"/>
      <w:szCs w:val="20"/>
    </w:rPr>
  </w:style>
  <w:style w:type="character" w:customStyle="1" w:styleId="Heading8Char">
    <w:name w:val="Heading 8 Char"/>
    <w:basedOn w:val="DefaultParagraphFont"/>
    <w:link w:val="Heading8"/>
    <w:uiPriority w:val="9"/>
    <w:semiHidden/>
    <w:rsid w:val="009D178E"/>
    <w:rPr>
      <w:rFonts w:ascii="Arial" w:eastAsiaTheme="majorEastAsia" w:hAnsi="Arial" w:cstheme="majorBidi"/>
      <w:i/>
      <w:iCs/>
      <w:color w:val="272727" w:themeColor="text1" w:themeTint="D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F0455B1A94B40A564640FA39F7930" ma:contentTypeVersion="19" ma:contentTypeDescription="Create a new document." ma:contentTypeScope="" ma:versionID="cdd46184a50a27e4b8a64be34413f99b">
  <xsd:schema xmlns:xsd="http://www.w3.org/2001/XMLSchema" xmlns:xs="http://www.w3.org/2001/XMLSchema" xmlns:p="http://schemas.microsoft.com/office/2006/metadata/properties" xmlns:ns2="fe1a3557-9b0e-4f6b-ba0c-7645aa07fd2b" xmlns:ns3="3e20cb89-bdaa-4253-8b19-5c8ddbb771ed" targetNamespace="http://schemas.microsoft.com/office/2006/metadata/properties" ma:root="true" ma:fieldsID="01c30f856b1dfce25ba0a9993750ffb4" ns2:_="" ns3:_="">
    <xsd:import namespace="fe1a3557-9b0e-4f6b-ba0c-7645aa07fd2b"/>
    <xsd:import namespace="3e20cb89-bdaa-4253-8b19-5c8ddbb771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a3557-9b0e-4f6b-ba0c-7645aa07f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0ae18-fba6-44a5-a955-6e50b82f9f2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0cb89-bdaa-4253-8b19-5c8ddbb771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000f5a-ff4f-4952-9b20-4334748314f3}" ma:internalName="TaxCatchAll" ma:showField="CatchAllData" ma:web="3e20cb89-bdaa-4253-8b19-5c8ddbb77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20cb89-bdaa-4253-8b19-5c8ddbb771ed" xsi:nil="true"/>
    <lcf76f155ced4ddcb4097134ff3c332f xmlns="fe1a3557-9b0e-4f6b-ba0c-7645aa07fd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A3362-FFEE-45B9-AE56-A0E2F55DD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a3557-9b0e-4f6b-ba0c-7645aa07fd2b"/>
    <ds:schemaRef ds:uri="3e20cb89-bdaa-4253-8b19-5c8ddbb77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0D99D-6990-4397-9B40-83E82D6525DD}">
  <ds:schemaRefs>
    <ds:schemaRef ds:uri="http://schemas.microsoft.com/office/2006/metadata/properties"/>
    <ds:schemaRef ds:uri="http://schemas.microsoft.com/office/infopath/2007/PartnerControls"/>
    <ds:schemaRef ds:uri="3e20cb89-bdaa-4253-8b19-5c8ddbb771ed"/>
    <ds:schemaRef ds:uri="fe1a3557-9b0e-4f6b-ba0c-7645aa07fd2b"/>
  </ds:schemaRefs>
</ds:datastoreItem>
</file>

<file path=customXml/itemProps3.xml><?xml version="1.0" encoding="utf-8"?>
<ds:datastoreItem xmlns:ds="http://schemas.openxmlformats.org/officeDocument/2006/customXml" ds:itemID="{822FBE2C-2768-4E29-A391-3FF98A558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3049</Characters>
  <Application>Microsoft Office Word</Application>
  <DocSecurity>0</DocSecurity>
  <Lines>118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Olm</dc:creator>
  <cp:keywords/>
  <dc:description/>
  <cp:lastModifiedBy>Vivienne Cassley</cp:lastModifiedBy>
  <cp:revision>36</cp:revision>
  <cp:lastPrinted>2025-10-09T14:41:00Z</cp:lastPrinted>
  <dcterms:created xsi:type="dcterms:W3CDTF">2025-10-09T07:34:00Z</dcterms:created>
  <dcterms:modified xsi:type="dcterms:W3CDTF">2025-10-22T15:49:00Z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0x0101003C5F0455B1A94B40A564640FA39F7930</vt:lpwstr>
  </property>
  <property fmtid="{D5CDD505-2E9C-101B-9397-08002B2CF9AE}" pid="3" name="MediaServiceImageTags">
    <vt:lpwstr/>
  </property>
</Properties>
</file>