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072F" w14:textId="2D4815DC" w:rsidR="00B43664" w:rsidRPr="00D06BBF" w:rsidRDefault="00E13D21" w:rsidP="00021479">
      <w:pPr>
        <w:rPr>
          <w:rFonts w:cstheme="minorHAnsi"/>
          <w:b/>
          <w:sz w:val="20"/>
          <w:szCs w:val="20"/>
        </w:rPr>
      </w:pPr>
      <w:r w:rsidRPr="00D06BBF">
        <w:rPr>
          <w:rFonts w:cstheme="minorHAnsi"/>
          <w:b/>
          <w:sz w:val="20"/>
          <w:szCs w:val="20"/>
        </w:rPr>
        <w:t xml:space="preserve">RULE </w:t>
      </w:r>
      <w:r w:rsidR="00021479">
        <w:rPr>
          <w:rFonts w:cstheme="minorHAnsi"/>
          <w:b/>
          <w:sz w:val="20"/>
          <w:szCs w:val="20"/>
        </w:rPr>
        <w:t>1.3/1.4</w:t>
      </w:r>
      <w:r w:rsidRPr="00D06BBF">
        <w:rPr>
          <w:rFonts w:cstheme="minorHAnsi"/>
          <w:b/>
          <w:sz w:val="20"/>
          <w:szCs w:val="20"/>
        </w:rPr>
        <w:t xml:space="preserve"> - </w:t>
      </w:r>
      <w:r w:rsidR="00B43664" w:rsidRPr="00D06BBF">
        <w:rPr>
          <w:rFonts w:cstheme="minorHAnsi"/>
          <w:b/>
          <w:sz w:val="20"/>
          <w:szCs w:val="20"/>
        </w:rPr>
        <w:t xml:space="preserve">PROFORMA </w:t>
      </w:r>
      <w:r w:rsidR="00021479">
        <w:rPr>
          <w:rFonts w:cstheme="minorHAnsi"/>
          <w:b/>
          <w:sz w:val="20"/>
          <w:szCs w:val="20"/>
        </w:rPr>
        <w:t>APPLICATION</w:t>
      </w:r>
      <w:r w:rsidR="00B43664" w:rsidRPr="00D06BBF">
        <w:rPr>
          <w:rFonts w:cstheme="minorHAnsi"/>
          <w:b/>
          <w:sz w:val="20"/>
          <w:szCs w:val="20"/>
        </w:rPr>
        <w:t xml:space="preserve"> ANNOUNCEMENT</w:t>
      </w:r>
    </w:p>
    <w:p w14:paraId="451C0730" w14:textId="77777777" w:rsidR="00E13D21" w:rsidRPr="00D614AC" w:rsidRDefault="00E13D21" w:rsidP="00B43664">
      <w:pPr>
        <w:rPr>
          <w:rFonts w:cstheme="minorHAnsi"/>
          <w:b/>
          <w:i/>
          <w:sz w:val="20"/>
          <w:szCs w:val="20"/>
        </w:rPr>
      </w:pPr>
      <w:r w:rsidRPr="00D614AC">
        <w:rPr>
          <w:rFonts w:cstheme="minorHAnsi"/>
          <w:b/>
          <w:i/>
          <w:sz w:val="20"/>
          <w:szCs w:val="20"/>
        </w:rPr>
        <w:t xml:space="preserve">Guidance </w:t>
      </w:r>
    </w:p>
    <w:p w14:paraId="451C0731" w14:textId="1D868B4C" w:rsidR="00E13D21" w:rsidRPr="00D614AC" w:rsidRDefault="00E13D21" w:rsidP="00D614AC">
      <w:pPr>
        <w:jc w:val="both"/>
        <w:rPr>
          <w:rFonts w:cstheme="minorHAnsi"/>
          <w:i/>
          <w:sz w:val="20"/>
          <w:szCs w:val="20"/>
        </w:rPr>
      </w:pPr>
      <w:r w:rsidRPr="00D614AC">
        <w:rPr>
          <w:rFonts w:cstheme="minorHAnsi"/>
          <w:i/>
          <w:sz w:val="20"/>
          <w:szCs w:val="20"/>
        </w:rPr>
        <w:t xml:space="preserve">In accordance with Rule </w:t>
      </w:r>
      <w:r w:rsidR="00021479">
        <w:rPr>
          <w:rFonts w:cstheme="minorHAnsi"/>
          <w:i/>
          <w:sz w:val="20"/>
          <w:szCs w:val="20"/>
        </w:rPr>
        <w:t>1.3</w:t>
      </w:r>
      <w:r w:rsidR="00021479" w:rsidRPr="00D614AC">
        <w:rPr>
          <w:rFonts w:cstheme="minorHAnsi"/>
          <w:i/>
          <w:sz w:val="20"/>
          <w:szCs w:val="20"/>
        </w:rPr>
        <w:t xml:space="preserve"> </w:t>
      </w:r>
      <w:r w:rsidR="00952817" w:rsidRPr="00D614AC">
        <w:rPr>
          <w:rFonts w:cstheme="minorHAnsi"/>
          <w:i/>
          <w:sz w:val="20"/>
          <w:szCs w:val="20"/>
        </w:rPr>
        <w:t xml:space="preserve">of the </w:t>
      </w:r>
      <w:r w:rsidR="00021479">
        <w:rPr>
          <w:rFonts w:cstheme="minorHAnsi"/>
          <w:i/>
          <w:sz w:val="20"/>
          <w:szCs w:val="20"/>
        </w:rPr>
        <w:t>Apex Rulebook / Rule 1.4 of the Access Rulebook</w:t>
      </w:r>
      <w:r w:rsidRPr="00D614AC">
        <w:rPr>
          <w:rFonts w:cstheme="minorHAnsi"/>
          <w:i/>
          <w:sz w:val="20"/>
          <w:szCs w:val="20"/>
        </w:rPr>
        <w:t>, a</w:t>
      </w:r>
      <w:r w:rsidR="0031518F">
        <w:rPr>
          <w:rFonts w:cstheme="minorHAnsi"/>
          <w:i/>
          <w:sz w:val="20"/>
          <w:szCs w:val="20"/>
        </w:rPr>
        <w:t>n</w:t>
      </w:r>
      <w:r w:rsidRPr="00D614AC">
        <w:rPr>
          <w:rFonts w:cstheme="minorHAnsi"/>
          <w:i/>
          <w:sz w:val="20"/>
          <w:szCs w:val="20"/>
        </w:rPr>
        <w:t xml:space="preserve"> </w:t>
      </w:r>
      <w:r w:rsidR="00F229F7">
        <w:rPr>
          <w:rFonts w:cstheme="minorHAnsi"/>
          <w:i/>
          <w:sz w:val="20"/>
          <w:szCs w:val="20"/>
        </w:rPr>
        <w:t>AQSE</w:t>
      </w:r>
      <w:r w:rsidRPr="00D614AC">
        <w:rPr>
          <w:rFonts w:cstheme="minorHAnsi"/>
          <w:i/>
          <w:sz w:val="20"/>
          <w:szCs w:val="20"/>
        </w:rPr>
        <w:t xml:space="preserve"> Corporate Adviser must submit </w:t>
      </w:r>
      <w:r w:rsidR="00660B11" w:rsidRPr="00D614AC">
        <w:rPr>
          <w:rFonts w:cstheme="minorHAnsi"/>
          <w:i/>
          <w:sz w:val="20"/>
          <w:szCs w:val="20"/>
        </w:rPr>
        <w:t xml:space="preserve">the information </w:t>
      </w:r>
      <w:r w:rsidR="001F751B" w:rsidRPr="00D614AC">
        <w:rPr>
          <w:rFonts w:cstheme="minorHAnsi"/>
          <w:i/>
          <w:sz w:val="20"/>
          <w:szCs w:val="20"/>
        </w:rPr>
        <w:t xml:space="preserve">requested </w:t>
      </w:r>
      <w:r w:rsidR="00660B11" w:rsidRPr="00D614AC">
        <w:rPr>
          <w:rFonts w:cstheme="minorHAnsi"/>
          <w:i/>
          <w:sz w:val="20"/>
          <w:szCs w:val="20"/>
        </w:rPr>
        <w:t>in the form</w:t>
      </w:r>
      <w:r w:rsidRPr="00D614AC">
        <w:rPr>
          <w:rFonts w:cstheme="minorHAnsi"/>
          <w:i/>
          <w:sz w:val="20"/>
          <w:szCs w:val="20"/>
        </w:rPr>
        <w:t xml:space="preserve"> set out below no less than 10 business days prior to the </w:t>
      </w:r>
      <w:r w:rsidR="00660B11" w:rsidRPr="00D614AC">
        <w:rPr>
          <w:rFonts w:cstheme="minorHAnsi"/>
          <w:i/>
          <w:sz w:val="20"/>
          <w:szCs w:val="20"/>
        </w:rPr>
        <w:t xml:space="preserve">intended admission date.  </w:t>
      </w:r>
    </w:p>
    <w:p w14:paraId="451C0732" w14:textId="77777777" w:rsidR="00660B11" w:rsidRPr="00D614AC" w:rsidRDefault="00F229F7" w:rsidP="00D614AC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AQSE</w:t>
      </w:r>
      <w:r w:rsidR="00E13D21" w:rsidRPr="00D614AC">
        <w:rPr>
          <w:rFonts w:cstheme="minorHAnsi"/>
          <w:i/>
          <w:sz w:val="20"/>
          <w:szCs w:val="20"/>
        </w:rPr>
        <w:t xml:space="preserve"> will release the pre-admission announcement by RIS under the heading “</w:t>
      </w:r>
      <w:r>
        <w:rPr>
          <w:rFonts w:cstheme="minorHAnsi"/>
          <w:i/>
          <w:sz w:val="20"/>
          <w:szCs w:val="20"/>
        </w:rPr>
        <w:t>AQSE</w:t>
      </w:r>
      <w:r w:rsidR="00E13D21" w:rsidRPr="00D614AC">
        <w:rPr>
          <w:rFonts w:cstheme="minorHAnsi"/>
          <w:i/>
          <w:sz w:val="20"/>
          <w:szCs w:val="20"/>
        </w:rPr>
        <w:t>” on the date of submission</w:t>
      </w:r>
      <w:r w:rsidR="00660B11" w:rsidRPr="00D614AC">
        <w:rPr>
          <w:rFonts w:cstheme="minorHAnsi"/>
          <w:i/>
          <w:sz w:val="20"/>
          <w:szCs w:val="20"/>
        </w:rPr>
        <w:t xml:space="preserve"> of the form.</w:t>
      </w:r>
    </w:p>
    <w:p w14:paraId="451C0733" w14:textId="77777777" w:rsidR="00660B11" w:rsidRPr="00D614AC" w:rsidRDefault="00660B11" w:rsidP="00D614AC">
      <w:pPr>
        <w:jc w:val="both"/>
        <w:rPr>
          <w:rFonts w:cstheme="minorHAnsi"/>
          <w:i/>
          <w:sz w:val="20"/>
          <w:szCs w:val="20"/>
        </w:rPr>
      </w:pPr>
      <w:r w:rsidRPr="00D614AC">
        <w:rPr>
          <w:rFonts w:cstheme="minorHAnsi"/>
          <w:i/>
          <w:sz w:val="20"/>
          <w:szCs w:val="20"/>
        </w:rPr>
        <w:t xml:space="preserve">In the event information is not known at the time of submission, “TBC” may be stated in the relevant section.  As soon as such information is known, the </w:t>
      </w:r>
      <w:r w:rsidR="00F229F7">
        <w:rPr>
          <w:rFonts w:cstheme="minorHAnsi"/>
          <w:i/>
          <w:sz w:val="20"/>
          <w:szCs w:val="20"/>
        </w:rPr>
        <w:t>AQSE</w:t>
      </w:r>
      <w:r w:rsidR="0031518F" w:rsidRPr="00D614AC">
        <w:rPr>
          <w:rFonts w:cstheme="minorHAnsi"/>
          <w:i/>
          <w:sz w:val="20"/>
          <w:szCs w:val="20"/>
        </w:rPr>
        <w:t xml:space="preserve"> </w:t>
      </w:r>
      <w:r w:rsidRPr="00D614AC">
        <w:rPr>
          <w:rFonts w:cstheme="minorHAnsi"/>
          <w:i/>
          <w:sz w:val="20"/>
          <w:szCs w:val="20"/>
        </w:rPr>
        <w:t xml:space="preserve">Corporate Adviser must submit an updated form with the updates narrated in bold. </w:t>
      </w:r>
    </w:p>
    <w:p w14:paraId="601311DB" w14:textId="7F498EF3" w:rsidR="007E030D" w:rsidRPr="00BE7686" w:rsidRDefault="003C1274" w:rsidP="00D614AC">
      <w:pPr>
        <w:jc w:val="both"/>
        <w:rPr>
          <w:rFonts w:cstheme="minorHAnsi"/>
          <w:b/>
          <w:bCs/>
          <w:i/>
          <w:color w:val="FF0000"/>
          <w:sz w:val="20"/>
          <w:szCs w:val="20"/>
        </w:rPr>
      </w:pPr>
      <w:r w:rsidRPr="00BE7686">
        <w:rPr>
          <w:rFonts w:cstheme="minorHAnsi"/>
          <w:b/>
          <w:bCs/>
          <w:i/>
          <w:color w:val="FF0000"/>
          <w:sz w:val="20"/>
          <w:szCs w:val="20"/>
          <w:highlight w:val="yellow"/>
        </w:rPr>
        <w:t>DRAFT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CCD" w:rsidRPr="00D06BBF" w14:paraId="451C0738" w14:textId="77777777" w:rsidTr="008874C9">
        <w:tc>
          <w:tcPr>
            <w:tcW w:w="9016" w:type="dxa"/>
            <w:shd w:val="clear" w:color="auto" w:fill="BFBFBF" w:themeFill="background1" w:themeFillShade="BF"/>
          </w:tcPr>
          <w:p w14:paraId="38A9CC45" w14:textId="77777777" w:rsidR="00D545C3" w:rsidRDefault="00D545C3" w:rsidP="00F61CC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76FBCBCC" w14:textId="2614B509" w:rsidR="007E030D" w:rsidRPr="00021479" w:rsidRDefault="00660B11" w:rsidP="00F61CC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21479">
              <w:rPr>
                <w:rFonts w:cstheme="minorHAnsi"/>
                <w:i/>
                <w:sz w:val="20"/>
                <w:szCs w:val="20"/>
              </w:rPr>
              <w:t>Please submit the form by email in a</w:t>
            </w:r>
            <w:r w:rsidR="00D06BBF" w:rsidRPr="00021479">
              <w:rPr>
                <w:rFonts w:cstheme="minorHAnsi"/>
                <w:i/>
                <w:sz w:val="20"/>
                <w:szCs w:val="20"/>
              </w:rPr>
              <w:t>n MS</w:t>
            </w:r>
            <w:r w:rsidRPr="00021479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06BBF" w:rsidRPr="00021479">
              <w:rPr>
                <w:rFonts w:cstheme="minorHAnsi"/>
                <w:i/>
                <w:sz w:val="20"/>
                <w:szCs w:val="20"/>
              </w:rPr>
              <w:t>W</w:t>
            </w:r>
            <w:r w:rsidRPr="00021479">
              <w:rPr>
                <w:rFonts w:cstheme="minorHAnsi"/>
                <w:i/>
                <w:sz w:val="20"/>
                <w:szCs w:val="20"/>
              </w:rPr>
              <w:t xml:space="preserve">ord document to </w:t>
            </w:r>
            <w:hyperlink r:id="rId8" w:history="1">
              <w:r w:rsidR="003A0F92" w:rsidRPr="00021479">
                <w:rPr>
                  <w:rStyle w:val="Hyperlink"/>
                  <w:rFonts w:cstheme="minorHAnsi"/>
                  <w:i/>
                  <w:sz w:val="20"/>
                  <w:szCs w:val="20"/>
                </w:rPr>
                <w:t>a</w:t>
              </w:r>
              <w:r w:rsidR="003A0F92" w:rsidRPr="00021479">
                <w:rPr>
                  <w:rStyle w:val="Hyperlink"/>
                  <w:i/>
                  <w:sz w:val="20"/>
                  <w:szCs w:val="20"/>
                </w:rPr>
                <w:t>qseregulation@aquis.eu</w:t>
              </w:r>
            </w:hyperlink>
            <w:r w:rsidRPr="00021479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7D0C71A4" w14:textId="77777777" w:rsidR="00F61CCD" w:rsidRDefault="00F61CCD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ANNOUNCEMENT OF APPLICATION FOR ADMISSION TO </w:t>
            </w:r>
            <w:r w:rsidR="00C320A1"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31518F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GROWTH MARKET</w:t>
            </w:r>
          </w:p>
          <w:p w14:paraId="451C0737" w14:textId="0F1D95E7" w:rsidR="00D545C3" w:rsidRPr="00D06BBF" w:rsidRDefault="00D545C3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1CCD" w:rsidRPr="00D06BBF" w14:paraId="451C073A" w14:textId="77777777" w:rsidTr="00F61CCD">
        <w:tc>
          <w:tcPr>
            <w:tcW w:w="9016" w:type="dxa"/>
          </w:tcPr>
          <w:p w14:paraId="451C0739" w14:textId="77777777" w:rsidR="00F61CCD" w:rsidRPr="00D06BBF" w:rsidRDefault="00F61CCD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3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B" w14:textId="77777777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NAME:</w:t>
            </w:r>
          </w:p>
        </w:tc>
      </w:tr>
      <w:tr w:rsidR="00F61CCD" w:rsidRPr="00D06BBF" w14:paraId="451C073E" w14:textId="77777777" w:rsidTr="00F61CCD">
        <w:tc>
          <w:tcPr>
            <w:tcW w:w="9016" w:type="dxa"/>
          </w:tcPr>
          <w:p w14:paraId="765D0E44" w14:textId="18ED3608" w:rsidR="007E030D" w:rsidRDefault="001837C2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Greengage &amp; Co </w:t>
            </w:r>
            <w:r w:rsidR="00D537D4">
              <w:rPr>
                <w:rFonts w:cstheme="minorHAnsi"/>
                <w:sz w:val="20"/>
                <w:szCs w:val="20"/>
              </w:rPr>
              <w:t>Group Plc</w:t>
            </w:r>
          </w:p>
          <w:p w14:paraId="451C073D" w14:textId="144B3CCD" w:rsidR="001837C2" w:rsidRPr="00D06BBF" w:rsidRDefault="001837C2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4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F" w14:textId="77777777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REGISTERED OFFICE, PRINCIPLE PLACE OF BUSINESS (IF DIFFERENT) AND TELEPHONE NUMBER:</w:t>
            </w:r>
          </w:p>
        </w:tc>
      </w:tr>
      <w:tr w:rsidR="00F61CCD" w:rsidRPr="00D06BBF" w14:paraId="451C0742" w14:textId="77777777" w:rsidTr="00F61CCD">
        <w:tc>
          <w:tcPr>
            <w:tcW w:w="9016" w:type="dxa"/>
          </w:tcPr>
          <w:p w14:paraId="6CF46AAB" w14:textId="77777777" w:rsidR="004E0D2A" w:rsidRDefault="004A0876" w:rsidP="004A0876">
            <w:pPr>
              <w:rPr>
                <w:rFonts w:cstheme="minorHAnsi"/>
                <w:sz w:val="20"/>
                <w:szCs w:val="20"/>
              </w:rPr>
            </w:pPr>
            <w:r w:rsidRPr="004A0876">
              <w:rPr>
                <w:rFonts w:cstheme="minorHAnsi"/>
                <w:sz w:val="20"/>
                <w:szCs w:val="20"/>
              </w:rPr>
              <w:t>9 Little Trinity L</w:t>
            </w:r>
            <w:r w:rsidR="004E0D2A">
              <w:rPr>
                <w:rFonts w:cstheme="minorHAnsi"/>
                <w:sz w:val="20"/>
                <w:szCs w:val="20"/>
              </w:rPr>
              <w:t>ane</w:t>
            </w:r>
          </w:p>
          <w:p w14:paraId="7EABA46B" w14:textId="77777777" w:rsidR="004E0D2A" w:rsidRDefault="004E0D2A" w:rsidP="004A08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London</w:t>
            </w:r>
          </w:p>
          <w:p w14:paraId="5F660C1D" w14:textId="58884428" w:rsidR="007E030D" w:rsidRDefault="004A0876" w:rsidP="004A0876">
            <w:pPr>
              <w:rPr>
                <w:rFonts w:cstheme="minorHAnsi"/>
                <w:sz w:val="20"/>
                <w:szCs w:val="20"/>
              </w:rPr>
            </w:pPr>
            <w:r w:rsidRPr="004A0876">
              <w:rPr>
                <w:rFonts w:cstheme="minorHAnsi"/>
                <w:sz w:val="20"/>
                <w:szCs w:val="20"/>
              </w:rPr>
              <w:t>EC4V 2AD</w:t>
            </w:r>
          </w:p>
          <w:p w14:paraId="451C0741" w14:textId="3276AD95" w:rsidR="00D537D4" w:rsidRPr="00D06BBF" w:rsidRDefault="00D537D4" w:rsidP="004A08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4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3" w14:textId="77777777" w:rsidR="00F61CCD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DIRECTORS AND PROPOSED DIRECTORS (IF APPLICABLE)</w:t>
            </w:r>
            <w:r w:rsidR="001F751B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61CCD" w:rsidRPr="00D06BBF" w14:paraId="451C0746" w14:textId="77777777" w:rsidTr="00F61CCD">
        <w:tc>
          <w:tcPr>
            <w:tcW w:w="9016" w:type="dxa"/>
          </w:tcPr>
          <w:p w14:paraId="2FD2AFE0" w14:textId="2A92593B" w:rsidR="00F63146" w:rsidRPr="00F63146" w:rsidRDefault="00F63146" w:rsidP="00F63146">
            <w:pPr>
              <w:rPr>
                <w:rFonts w:cstheme="minorHAnsi"/>
                <w:sz w:val="20"/>
                <w:szCs w:val="20"/>
              </w:rPr>
            </w:pPr>
            <w:r w:rsidRPr="00F63146">
              <w:rPr>
                <w:rFonts w:cstheme="minorHAnsi"/>
                <w:sz w:val="20"/>
                <w:szCs w:val="20"/>
              </w:rPr>
              <w:t>Prem Babu Goyal CBE - Non-Executive Chairman</w:t>
            </w:r>
          </w:p>
          <w:p w14:paraId="24FC37E4" w14:textId="4B75FEDB" w:rsidR="009E1231" w:rsidRDefault="009E1231" w:rsidP="00206D53">
            <w:pPr>
              <w:rPr>
                <w:rFonts w:cstheme="minorHAnsi"/>
                <w:sz w:val="20"/>
                <w:szCs w:val="20"/>
              </w:rPr>
            </w:pPr>
            <w:r w:rsidRPr="00F63146">
              <w:rPr>
                <w:rFonts w:cstheme="minorHAnsi"/>
                <w:sz w:val="20"/>
                <w:szCs w:val="20"/>
              </w:rPr>
              <w:t>Sean Kiernan - Chief Executive Officer</w:t>
            </w:r>
          </w:p>
          <w:p w14:paraId="21776FFE" w14:textId="1BDE901A" w:rsidR="009E1231" w:rsidRPr="00BE7686" w:rsidRDefault="00D537D4" w:rsidP="00206D5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</w:t>
            </w:r>
            <w:r w:rsidR="00F63146">
              <w:rPr>
                <w:rFonts w:cstheme="minorHAnsi"/>
                <w:sz w:val="20"/>
                <w:szCs w:val="20"/>
              </w:rPr>
              <w:t>nifer Katherine Knott – Non-Executive Director</w:t>
            </w:r>
            <w:r w:rsidR="009E1231">
              <w:rPr>
                <w:rFonts w:cstheme="minorHAnsi"/>
                <w:sz w:val="20"/>
                <w:szCs w:val="20"/>
              </w:rPr>
              <w:t xml:space="preserve"> </w:t>
            </w:r>
            <w:r w:rsidR="00A76688">
              <w:rPr>
                <w:rFonts w:cstheme="minorHAnsi"/>
                <w:i/>
                <w:iCs/>
                <w:sz w:val="20"/>
                <w:szCs w:val="20"/>
              </w:rPr>
              <w:t>(on Admission)</w:t>
            </w:r>
          </w:p>
          <w:p w14:paraId="451C0745" w14:textId="4A945B7D" w:rsidR="00D537D4" w:rsidRPr="00D06BBF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SECTOR:</w:t>
            </w:r>
          </w:p>
        </w:tc>
      </w:tr>
      <w:tr w:rsidR="00C320A1" w:rsidRPr="00D06BBF" w14:paraId="451C074A" w14:textId="77777777" w:rsidTr="00F61CCD">
        <w:tc>
          <w:tcPr>
            <w:tcW w:w="9016" w:type="dxa"/>
          </w:tcPr>
          <w:p w14:paraId="0D270665" w14:textId="19B0E23D" w:rsidR="00D545C3" w:rsidRDefault="007A51EA" w:rsidP="004F1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Financial services</w:t>
            </w:r>
          </w:p>
          <w:p w14:paraId="451C0749" w14:textId="650E3D8B" w:rsidR="004F167E" w:rsidRPr="00D06BBF" w:rsidRDefault="004F167E" w:rsidP="004F16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DESCRIPTION OF THE APPLICANT AND ITS ACTIVITIES:</w:t>
            </w:r>
          </w:p>
        </w:tc>
      </w:tr>
      <w:tr w:rsidR="00C320A1" w:rsidRPr="00D06BBF" w14:paraId="451C074E" w14:textId="77777777" w:rsidTr="00F61CCD">
        <w:tc>
          <w:tcPr>
            <w:tcW w:w="9016" w:type="dxa"/>
          </w:tcPr>
          <w:p w14:paraId="7C750370" w14:textId="77777777" w:rsidR="00A76688" w:rsidRDefault="00A76688" w:rsidP="007A51EA">
            <w:pPr>
              <w:rPr>
                <w:rFonts w:cstheme="minorHAnsi"/>
                <w:sz w:val="20"/>
                <w:szCs w:val="20"/>
              </w:rPr>
            </w:pPr>
            <w:r w:rsidRPr="00A76688">
              <w:rPr>
                <w:rFonts w:cstheme="minorHAnsi"/>
                <w:sz w:val="20"/>
                <w:szCs w:val="20"/>
              </w:rPr>
              <w:t xml:space="preserve">Greengage bridges traditional finance and digital assets through a relationship-led fintech platform designed for institutional and professional clients. It provides business-to-business (B2B) introductions to electronic-money (e-money) accounts and providers of credit for small and medium-sized enterprises (SMEs), fiduciaries, and family offices, enabling seamless movement between fiat and digital currencies. </w:t>
            </w:r>
          </w:p>
          <w:p w14:paraId="72A73B0C" w14:textId="77777777" w:rsidR="00A76688" w:rsidRDefault="00A76688" w:rsidP="007A51EA">
            <w:pPr>
              <w:rPr>
                <w:rFonts w:cstheme="minorHAnsi"/>
                <w:sz w:val="20"/>
                <w:szCs w:val="20"/>
              </w:rPr>
            </w:pPr>
          </w:p>
          <w:p w14:paraId="3281C214" w14:textId="2AB6BEA3" w:rsidR="00A76688" w:rsidRDefault="00A76688" w:rsidP="007A51EA">
            <w:pPr>
              <w:rPr>
                <w:rFonts w:cstheme="minorHAnsi"/>
                <w:sz w:val="20"/>
                <w:szCs w:val="20"/>
              </w:rPr>
            </w:pPr>
            <w:r w:rsidRPr="00A76688">
              <w:rPr>
                <w:rFonts w:cstheme="minorHAnsi"/>
                <w:sz w:val="20"/>
                <w:szCs w:val="20"/>
              </w:rPr>
              <w:t xml:space="preserve">With over 40 active clients, the Company has established a solid foundation in the fast-growing B2B digital-finance sector and is well positioned for scalable expansion. </w:t>
            </w:r>
          </w:p>
          <w:p w14:paraId="02D5ACE0" w14:textId="77777777" w:rsidR="00A76688" w:rsidRDefault="00A76688" w:rsidP="007A51EA">
            <w:pPr>
              <w:rPr>
                <w:rFonts w:cstheme="minorHAnsi"/>
                <w:sz w:val="20"/>
                <w:szCs w:val="20"/>
              </w:rPr>
            </w:pPr>
          </w:p>
          <w:p w14:paraId="368D3F3C" w14:textId="77777777" w:rsidR="00A76688" w:rsidRDefault="00A76688" w:rsidP="00A76688">
            <w:pPr>
              <w:rPr>
                <w:rFonts w:cstheme="minorHAnsi"/>
                <w:sz w:val="20"/>
                <w:szCs w:val="20"/>
              </w:rPr>
            </w:pPr>
            <w:r w:rsidRPr="00A76688">
              <w:rPr>
                <w:rFonts w:cstheme="minorHAnsi"/>
                <w:sz w:val="20"/>
                <w:szCs w:val="20"/>
              </w:rPr>
              <w:t>The Company’s strategy and IPO ambition focuses on two complementary objectives:</w:t>
            </w:r>
          </w:p>
          <w:p w14:paraId="1881EE9F" w14:textId="77777777" w:rsidR="00A76688" w:rsidRPr="00A76688" w:rsidRDefault="00A76688" w:rsidP="00A76688">
            <w:pPr>
              <w:rPr>
                <w:rFonts w:cstheme="minorHAnsi"/>
                <w:sz w:val="20"/>
                <w:szCs w:val="20"/>
              </w:rPr>
            </w:pPr>
          </w:p>
          <w:p w14:paraId="63BFA355" w14:textId="77777777" w:rsidR="00A76688" w:rsidRPr="00A76688" w:rsidRDefault="00A76688" w:rsidP="00BE768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76688">
              <w:rPr>
                <w:rFonts w:cstheme="minorHAnsi"/>
                <w:sz w:val="20"/>
                <w:szCs w:val="20"/>
              </w:rPr>
              <w:t>expanding its existing B2B financial platform; and</w:t>
            </w:r>
          </w:p>
          <w:p w14:paraId="49E9D91B" w14:textId="38C5B2DE" w:rsidR="00A76688" w:rsidRDefault="00A76688" w:rsidP="00A76688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76688">
              <w:rPr>
                <w:rFonts w:cstheme="minorHAnsi"/>
                <w:sz w:val="20"/>
                <w:szCs w:val="20"/>
              </w:rPr>
              <w:t>establish a Bitcoin yield reserve strategy to support its existing business and to seek to generate a yield through acquiring Bitcoin. The Company plans to achieve this by borrowing on a non-recourse basis using that Bitcoin as collateral, and deploying the funds borrowed into diversified, high-yield private credit portfolios.</w:t>
            </w:r>
          </w:p>
          <w:p w14:paraId="289AF513" w14:textId="77777777" w:rsidR="00D279C7" w:rsidRPr="00A76688" w:rsidRDefault="00D279C7" w:rsidP="00BE7686">
            <w:pPr>
              <w:ind w:left="684"/>
              <w:rPr>
                <w:rFonts w:cstheme="minorHAnsi"/>
                <w:sz w:val="20"/>
                <w:szCs w:val="20"/>
              </w:rPr>
            </w:pPr>
          </w:p>
          <w:p w14:paraId="3132FE3B" w14:textId="79F84198" w:rsidR="00D279C7" w:rsidRDefault="00D279C7" w:rsidP="004F167E">
            <w:pPr>
              <w:rPr>
                <w:rFonts w:cstheme="minorHAnsi"/>
                <w:sz w:val="20"/>
                <w:szCs w:val="20"/>
              </w:rPr>
            </w:pPr>
            <w:r w:rsidRPr="00D279C7">
              <w:rPr>
                <w:rFonts w:cstheme="minorHAnsi"/>
                <w:sz w:val="20"/>
                <w:szCs w:val="20"/>
              </w:rPr>
              <w:lastRenderedPageBreak/>
              <w:t>Bridging traditional finance and blockchain, the Company aims to reimagine digital financial services through compliant infrastructure, intelligent yield strategies, and sustainable, institutional-grade growth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F5D0BC0" w14:textId="77777777" w:rsidR="00D279C7" w:rsidRPr="00BE7686" w:rsidRDefault="00D279C7" w:rsidP="00D279C7">
            <w:pPr>
              <w:rPr>
                <w:rFonts w:cstheme="minorHAnsi"/>
                <w:sz w:val="20"/>
                <w:szCs w:val="20"/>
              </w:rPr>
            </w:pPr>
          </w:p>
          <w:p w14:paraId="451C074D" w14:textId="53A8BB83" w:rsidR="004F167E" w:rsidRPr="00D06BBF" w:rsidRDefault="004F167E" w:rsidP="004F16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F" w14:textId="75485B28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lastRenderedPageBreak/>
              <w:t xml:space="preserve">NAME OF </w:t>
            </w:r>
            <w:r w:rsidR="00CB61CD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CORPORATE ADVISER:</w:t>
            </w:r>
          </w:p>
        </w:tc>
      </w:tr>
      <w:tr w:rsidR="00C320A1" w:rsidRPr="00D06BBF" w14:paraId="451C0752" w14:textId="77777777" w:rsidTr="00F61CCD">
        <w:tc>
          <w:tcPr>
            <w:tcW w:w="9016" w:type="dxa"/>
          </w:tcPr>
          <w:p w14:paraId="774E9F3A" w14:textId="0980C2A3" w:rsidR="00645F76" w:rsidRDefault="009E1231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Singer Capital Markets </w:t>
            </w:r>
            <w:r w:rsidR="004E0D2A">
              <w:rPr>
                <w:rFonts w:cstheme="minorHAnsi"/>
                <w:sz w:val="20"/>
                <w:szCs w:val="20"/>
              </w:rPr>
              <w:t xml:space="preserve">Advisory </w:t>
            </w:r>
            <w:r>
              <w:rPr>
                <w:rFonts w:cstheme="minorHAnsi"/>
                <w:sz w:val="20"/>
                <w:szCs w:val="20"/>
              </w:rPr>
              <w:t>LLP</w:t>
            </w:r>
          </w:p>
          <w:p w14:paraId="451C0751" w14:textId="0E2BD5D8" w:rsidR="009E1231" w:rsidRPr="00D06BBF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3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NUMBER, CLASS AND PAR VALUE OF SECURITIES TO BE ADMITTED:</w:t>
            </w:r>
          </w:p>
        </w:tc>
      </w:tr>
      <w:tr w:rsidR="00C320A1" w:rsidRPr="00D06BBF" w14:paraId="451C0756" w14:textId="77777777" w:rsidTr="00F61CCD">
        <w:tc>
          <w:tcPr>
            <w:tcW w:w="9016" w:type="dxa"/>
          </w:tcPr>
          <w:p w14:paraId="36E80DBB" w14:textId="5E820624" w:rsidR="00645F76" w:rsidRDefault="007A51EA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5" w14:textId="13963605" w:rsidR="009E1231" w:rsidRPr="00D06BBF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SECURITIES IN PUBLIC HANDS AS A PERCENTAGE OF THE TOTAL NUMBER OF SECURITIES IN ISSUE (excluding securities held in treasury)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A" w14:textId="77777777" w:rsidTr="00F61CCD">
        <w:tc>
          <w:tcPr>
            <w:tcW w:w="9016" w:type="dxa"/>
          </w:tcPr>
          <w:p w14:paraId="1FCC06D5" w14:textId="77777777" w:rsidR="00D537D4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  <w:p w14:paraId="2DA2A53F" w14:textId="77777777" w:rsidR="007A51EA" w:rsidRDefault="007A51EA" w:rsidP="007A51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9" w14:textId="7F14B954" w:rsidR="009E1231" w:rsidRPr="00D06BBF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SHAREHOLDERS </w:t>
            </w:r>
            <w:r w:rsidR="00D06BBF">
              <w:rPr>
                <w:rFonts w:cstheme="minorHAnsi"/>
                <w:b/>
                <w:sz w:val="20"/>
                <w:szCs w:val="20"/>
              </w:rPr>
              <w:t>HOLDING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MORE THAN FIVE PER</w:t>
            </w:r>
            <w:r w:rsidR="00D06BB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6BBF">
              <w:rPr>
                <w:rFonts w:cstheme="minorHAnsi"/>
                <w:b/>
                <w:sz w:val="20"/>
                <w:szCs w:val="20"/>
              </w:rPr>
              <w:t>CENT OF THE APPLICANT’S SHARE CAPITAL OR VOTING RIGHTS PRE</w:t>
            </w:r>
            <w:r w:rsidR="008874C9" w:rsidRPr="00D06BBF">
              <w:rPr>
                <w:rFonts w:cstheme="minorHAnsi"/>
                <w:b/>
                <w:sz w:val="20"/>
                <w:szCs w:val="20"/>
              </w:rPr>
              <w:t>-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AND POST-ADMISSION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E" w14:textId="77777777" w:rsidTr="00F61CCD">
        <w:tc>
          <w:tcPr>
            <w:tcW w:w="9016" w:type="dxa"/>
          </w:tcPr>
          <w:p w14:paraId="191655D3" w14:textId="77777777" w:rsidR="00C320A1" w:rsidRDefault="00C320A1" w:rsidP="00B43664">
            <w:pPr>
              <w:rPr>
                <w:rFonts w:cstheme="minorHAnsi"/>
                <w:sz w:val="20"/>
                <w:szCs w:val="20"/>
              </w:rPr>
            </w:pPr>
          </w:p>
          <w:p w14:paraId="18A88527" w14:textId="7F1B743A" w:rsidR="00B14A67" w:rsidRDefault="007A51EA" w:rsidP="00B436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D" w14:textId="6C23162B" w:rsidR="00645F76" w:rsidRPr="00D06BBF" w:rsidRDefault="00645F76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F" w14:textId="6334CE6B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TIMETABLE FOR ANY OFFER OF TRANSFERABLE SECURITIES TO THE PUBLIC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62" w14:textId="77777777" w:rsidTr="00F61CCD">
        <w:tc>
          <w:tcPr>
            <w:tcW w:w="9016" w:type="dxa"/>
          </w:tcPr>
          <w:p w14:paraId="2023BEF0" w14:textId="77777777" w:rsidR="007E030D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  <w:p w14:paraId="6461D59A" w14:textId="33BBB38E" w:rsidR="009E1231" w:rsidRDefault="004F167E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Launch of the Retail Offer </w:t>
            </w:r>
            <w:r w:rsidR="007A51EA">
              <w:rPr>
                <w:rFonts w:cstheme="minorHAnsi"/>
                <w:sz w:val="20"/>
                <w:szCs w:val="20"/>
              </w:rPr>
              <w:t xml:space="preserve">– </w:t>
            </w:r>
            <w:r w:rsidR="00A76688">
              <w:rPr>
                <w:rFonts w:cstheme="minorHAnsi"/>
                <w:sz w:val="20"/>
                <w:szCs w:val="20"/>
              </w:rPr>
              <w:t xml:space="preserve">on or around </w:t>
            </w:r>
            <w:r w:rsidR="00261A91">
              <w:rPr>
                <w:rFonts w:cstheme="minorHAnsi"/>
                <w:sz w:val="20"/>
                <w:szCs w:val="20"/>
              </w:rPr>
              <w:t>[TBC]</w:t>
            </w:r>
            <w:r w:rsidR="007A51EA">
              <w:rPr>
                <w:rFonts w:cstheme="minorHAnsi"/>
                <w:sz w:val="20"/>
                <w:szCs w:val="20"/>
              </w:rPr>
              <w:t xml:space="preserve"> </w:t>
            </w:r>
            <w:r w:rsidR="00261A91">
              <w:rPr>
                <w:rFonts w:cstheme="minorHAnsi"/>
                <w:sz w:val="20"/>
                <w:szCs w:val="20"/>
              </w:rPr>
              <w:t>January</w:t>
            </w:r>
            <w:r w:rsidR="007A51EA">
              <w:rPr>
                <w:rFonts w:cstheme="minorHAnsi"/>
                <w:sz w:val="20"/>
                <w:szCs w:val="20"/>
              </w:rPr>
              <w:t xml:space="preserve"> 202</w:t>
            </w:r>
            <w:r w:rsidR="00261A91">
              <w:rPr>
                <w:rFonts w:cstheme="minorHAnsi"/>
                <w:sz w:val="20"/>
                <w:szCs w:val="20"/>
              </w:rPr>
              <w:t>6</w:t>
            </w:r>
          </w:p>
          <w:p w14:paraId="1BC920F1" w14:textId="316E9489" w:rsidR="004F167E" w:rsidRDefault="004F167E" w:rsidP="00206D53">
            <w:pPr>
              <w:rPr>
                <w:rFonts w:cstheme="minorHAnsi"/>
                <w:sz w:val="20"/>
                <w:szCs w:val="20"/>
              </w:rPr>
            </w:pPr>
            <w:r w:rsidRPr="004F167E">
              <w:rPr>
                <w:rFonts w:cstheme="minorHAnsi"/>
                <w:sz w:val="20"/>
                <w:szCs w:val="20"/>
              </w:rPr>
              <w:t>Latest time and date for receipt of bids for the Retail Offer on Bookbuild</w:t>
            </w:r>
            <w:r w:rsidR="00B14A67">
              <w:rPr>
                <w:rFonts w:cstheme="minorHAnsi"/>
                <w:sz w:val="20"/>
                <w:szCs w:val="20"/>
              </w:rPr>
              <w:t xml:space="preserve"> </w:t>
            </w:r>
            <w:r w:rsidR="005635B6">
              <w:rPr>
                <w:rFonts w:cstheme="minorHAnsi"/>
                <w:sz w:val="20"/>
                <w:szCs w:val="20"/>
              </w:rPr>
              <w:t>–</w:t>
            </w:r>
            <w:r w:rsidR="00B14A67">
              <w:rPr>
                <w:rFonts w:cstheme="minorHAnsi"/>
                <w:sz w:val="20"/>
                <w:szCs w:val="20"/>
              </w:rPr>
              <w:t xml:space="preserve"> </w:t>
            </w:r>
            <w:r w:rsidR="005635B6">
              <w:rPr>
                <w:rFonts w:cstheme="minorHAnsi"/>
                <w:sz w:val="20"/>
                <w:szCs w:val="20"/>
              </w:rPr>
              <w:t xml:space="preserve">5.00p.m. </w:t>
            </w:r>
            <w:r w:rsidR="00261A91">
              <w:rPr>
                <w:rFonts w:cstheme="minorHAnsi"/>
                <w:sz w:val="20"/>
                <w:szCs w:val="20"/>
              </w:rPr>
              <w:t>[TBC]</w:t>
            </w:r>
            <w:r w:rsidR="005635B6">
              <w:rPr>
                <w:rFonts w:cstheme="minorHAnsi"/>
                <w:sz w:val="20"/>
                <w:szCs w:val="20"/>
              </w:rPr>
              <w:t xml:space="preserve"> </w:t>
            </w:r>
            <w:r w:rsidR="00261A91" w:rsidRPr="00261A91">
              <w:rPr>
                <w:rFonts w:cstheme="minorHAnsi"/>
                <w:sz w:val="20"/>
                <w:szCs w:val="20"/>
              </w:rPr>
              <w:t>January 2026</w:t>
            </w:r>
          </w:p>
          <w:p w14:paraId="7DC0002C" w14:textId="59BD9425" w:rsidR="004F167E" w:rsidRDefault="004F167E" w:rsidP="00206D53">
            <w:pPr>
              <w:rPr>
                <w:rFonts w:cstheme="minorHAnsi"/>
                <w:sz w:val="20"/>
                <w:szCs w:val="20"/>
              </w:rPr>
            </w:pPr>
            <w:r w:rsidRPr="004F167E">
              <w:rPr>
                <w:rFonts w:cstheme="minorHAnsi"/>
                <w:sz w:val="20"/>
                <w:szCs w:val="20"/>
              </w:rPr>
              <w:t>Announcement of the results of the Retail Offer</w:t>
            </w:r>
            <w:r w:rsidR="00B14A67">
              <w:rPr>
                <w:rFonts w:cstheme="minorHAnsi"/>
                <w:sz w:val="20"/>
                <w:szCs w:val="20"/>
              </w:rPr>
              <w:t xml:space="preserve"> </w:t>
            </w:r>
            <w:r w:rsidR="005635B6">
              <w:rPr>
                <w:rFonts w:cstheme="minorHAnsi"/>
                <w:sz w:val="20"/>
                <w:szCs w:val="20"/>
              </w:rPr>
              <w:t>–</w:t>
            </w:r>
            <w:r w:rsidR="00B14A67">
              <w:rPr>
                <w:rFonts w:cstheme="minorHAnsi"/>
                <w:sz w:val="20"/>
                <w:szCs w:val="20"/>
              </w:rPr>
              <w:t xml:space="preserve"> </w:t>
            </w:r>
            <w:r w:rsidR="00261A91">
              <w:rPr>
                <w:rFonts w:cstheme="minorHAnsi"/>
                <w:sz w:val="20"/>
                <w:szCs w:val="20"/>
              </w:rPr>
              <w:t xml:space="preserve">[TBC] </w:t>
            </w:r>
            <w:r w:rsidR="00261A91" w:rsidRPr="00261A91">
              <w:rPr>
                <w:rFonts w:cstheme="minorHAnsi"/>
                <w:sz w:val="20"/>
                <w:szCs w:val="20"/>
              </w:rPr>
              <w:t>January 2026</w:t>
            </w:r>
          </w:p>
          <w:p w14:paraId="451C0761" w14:textId="3FE089F1" w:rsidR="00D537D4" w:rsidRPr="00D06BBF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0E0A" w:rsidRPr="00D06BBF" w14:paraId="451C076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3" w14:textId="77777777" w:rsidR="00CC0E0A" w:rsidRPr="00D614AC" w:rsidRDefault="00CC0E0A" w:rsidP="00B4366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D06BBF" w:rsidRPr="00D06BBF">
              <w:rPr>
                <w:rFonts w:cstheme="minorHAnsi"/>
                <w:b/>
                <w:sz w:val="20"/>
                <w:szCs w:val="20"/>
              </w:rPr>
              <w:t>EXPECTED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ADMISSION DATE:</w:t>
            </w:r>
          </w:p>
        </w:tc>
      </w:tr>
      <w:tr w:rsidR="00CC0E0A" w:rsidRPr="00D06BBF" w14:paraId="451C0766" w14:textId="77777777" w:rsidTr="00F61CCD">
        <w:tc>
          <w:tcPr>
            <w:tcW w:w="9016" w:type="dxa"/>
          </w:tcPr>
          <w:p w14:paraId="072328A0" w14:textId="77777777" w:rsidR="009E1231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  <w:p w14:paraId="4CB0102F" w14:textId="4B89C464" w:rsidR="007E030D" w:rsidRDefault="00AA52CC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261A91">
              <w:rPr>
                <w:rFonts w:cstheme="minorHAnsi"/>
                <w:sz w:val="20"/>
                <w:szCs w:val="20"/>
              </w:rPr>
              <w:t>TBC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="00261A91">
              <w:rPr>
                <w:rFonts w:cstheme="minorHAnsi"/>
                <w:sz w:val="20"/>
                <w:szCs w:val="20"/>
              </w:rPr>
              <w:t xml:space="preserve"> January</w:t>
            </w:r>
            <w:r w:rsidR="009E1231">
              <w:rPr>
                <w:rFonts w:cstheme="minorHAnsi"/>
                <w:sz w:val="20"/>
                <w:szCs w:val="20"/>
              </w:rPr>
              <w:t xml:space="preserve"> 202</w:t>
            </w:r>
            <w:r w:rsidR="00261A91">
              <w:rPr>
                <w:rFonts w:cstheme="minorHAnsi"/>
                <w:sz w:val="20"/>
                <w:szCs w:val="20"/>
              </w:rPr>
              <w:t>6</w:t>
            </w:r>
          </w:p>
          <w:p w14:paraId="451C0765" w14:textId="7D1B5010" w:rsidR="009E1231" w:rsidRPr="00D0623B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WEBSITE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ADDRESS 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WHERE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INVESTOR INFORMATION </w:t>
            </w:r>
            <w:r w:rsidR="001E427E">
              <w:rPr>
                <w:rFonts w:cstheme="minorHAnsi"/>
                <w:b/>
                <w:sz w:val="20"/>
                <w:szCs w:val="20"/>
                <w:lang w:val="en-US"/>
              </w:rPr>
              <w:t>WILL BE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 AVAILABLE FOR INSPECTION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</w:tr>
      <w:tr w:rsidR="00C320A1" w:rsidRPr="00D06BBF" w14:paraId="451C076A" w14:textId="77777777" w:rsidTr="00F61CCD">
        <w:tc>
          <w:tcPr>
            <w:tcW w:w="9016" w:type="dxa"/>
          </w:tcPr>
          <w:p w14:paraId="0A13C207" w14:textId="77777777" w:rsidR="009E1231" w:rsidRDefault="009E1231" w:rsidP="00206D53">
            <w:pPr>
              <w:rPr>
                <w:rFonts w:cstheme="minorHAnsi"/>
                <w:sz w:val="20"/>
                <w:szCs w:val="20"/>
              </w:rPr>
            </w:pPr>
            <w:r w:rsidRPr="009E12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C8C67B" w14:textId="727E8B59" w:rsidR="007E030D" w:rsidRDefault="009E1231" w:rsidP="00206D53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CE24B2">
                <w:rPr>
                  <w:rStyle w:val="Hyperlink"/>
                  <w:sz w:val="20"/>
                  <w:szCs w:val="20"/>
                </w:rPr>
                <w:t>https://www.greengage.co/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1C0769" w14:textId="3255A934" w:rsidR="009E1231" w:rsidRPr="00D06BBF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6E" w14:textId="77777777" w:rsidTr="00F61CCD">
        <w:tc>
          <w:tcPr>
            <w:tcW w:w="9016" w:type="dxa"/>
          </w:tcPr>
          <w:p w14:paraId="451C076B" w14:textId="77777777" w:rsidR="001F751B" w:rsidRPr="00D06BBF" w:rsidRDefault="001F751B" w:rsidP="00B4366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51C076C" w14:textId="77777777" w:rsidR="001F751B" w:rsidRPr="00D06BBF" w:rsidRDefault="001F751B" w:rsidP="00B43664">
            <w:pPr>
              <w:rPr>
                <w:rFonts w:cstheme="minorHAnsi"/>
                <w:i/>
                <w:sz w:val="20"/>
                <w:szCs w:val="20"/>
              </w:rPr>
            </w:pPr>
            <w:r w:rsidRPr="00D06BBF">
              <w:rPr>
                <w:rFonts w:cstheme="minorHAnsi"/>
                <w:i/>
                <w:sz w:val="20"/>
                <w:szCs w:val="20"/>
              </w:rPr>
              <w:t>In respect of a fast-track applicant, the following information should also be included:</w:t>
            </w:r>
          </w:p>
          <w:p w14:paraId="451C076D" w14:textId="77777777" w:rsidR="001F751B" w:rsidRPr="00D06BBF" w:rsidRDefault="001F751B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0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6F" w14:textId="77777777" w:rsidR="001F751B" w:rsidRPr="00D06BBF" w:rsidRDefault="001F751B" w:rsidP="00CF38FC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NAME OF MARKET ON WHICH THE APPLICANT’S SECURITIES ARE CURRENTLY TRADED:</w:t>
            </w:r>
          </w:p>
        </w:tc>
      </w:tr>
      <w:tr w:rsidR="001F751B" w:rsidRPr="00D06BBF" w14:paraId="451C0772" w14:textId="77777777" w:rsidTr="00CF38FC">
        <w:tc>
          <w:tcPr>
            <w:tcW w:w="9016" w:type="dxa"/>
            <w:shd w:val="clear" w:color="auto" w:fill="FFFFFF" w:themeFill="background1"/>
          </w:tcPr>
          <w:p w14:paraId="1C2687E8" w14:textId="77777777" w:rsidR="007E030D" w:rsidRDefault="007E030D" w:rsidP="00206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45C534" w14:textId="77777777" w:rsidR="009E1231" w:rsidRDefault="009E1231" w:rsidP="00206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1C0771" w14:textId="0779E908" w:rsidR="009E1231" w:rsidRPr="00D06BBF" w:rsidRDefault="009E1231" w:rsidP="00206D5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751B" w:rsidRPr="00D06BBF" w14:paraId="451C0774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73" w14:textId="77777777" w:rsidR="001F751B" w:rsidRPr="00D06BBF" w:rsidRDefault="001F751B" w:rsidP="00CF38FC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ARRANGEMENTS FOR THE SETTLEMENT OF TRANSACTIONS IN THE APPLICANT’S SECURITIES:</w:t>
            </w:r>
          </w:p>
        </w:tc>
      </w:tr>
      <w:tr w:rsidR="001F751B" w:rsidRPr="00D06BBF" w14:paraId="451C0776" w14:textId="77777777" w:rsidTr="00CF38FC">
        <w:tc>
          <w:tcPr>
            <w:tcW w:w="9016" w:type="dxa"/>
          </w:tcPr>
          <w:p w14:paraId="0120A304" w14:textId="77777777" w:rsidR="00D537D4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  <w:p w14:paraId="451C0775" w14:textId="33E3F8FA" w:rsidR="00D537D4" w:rsidRPr="00D06BBF" w:rsidRDefault="00D537D4" w:rsidP="007739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8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77" w14:textId="77777777" w:rsidR="001F751B" w:rsidRPr="004E2344" w:rsidRDefault="001F751B" w:rsidP="00CF38FC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DETAILS OF ANY LOCK-IN ARRANGEMENTS:</w:t>
            </w:r>
          </w:p>
        </w:tc>
      </w:tr>
      <w:tr w:rsidR="001F751B" w:rsidRPr="00D06BBF" w14:paraId="451C077A" w14:textId="77777777" w:rsidTr="00CF38FC">
        <w:tc>
          <w:tcPr>
            <w:tcW w:w="9016" w:type="dxa"/>
          </w:tcPr>
          <w:p w14:paraId="36E9CF59" w14:textId="77777777" w:rsidR="00D537D4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  <w:p w14:paraId="451C0779" w14:textId="306BF146" w:rsidR="00D537D4" w:rsidRPr="00D06BBF" w:rsidRDefault="00D537D4" w:rsidP="007739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C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7B" w14:textId="77777777" w:rsidR="001F751B" w:rsidRPr="00D06BBF" w:rsidRDefault="001F751B" w:rsidP="00CF38FC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DETAILS OF THE LEGAL OR REGULATORY REQUIREMENTS IN THE APPLICANT’S HOME COUNTRY REGARDING THE CONDUCT OF TAKEOVERS AND THE ACQUISITION OF SIGNIFICANT VOTING RIGHTS TO WHICH THE APPLICANT IS SUBJECT:</w:t>
            </w:r>
          </w:p>
        </w:tc>
      </w:tr>
      <w:tr w:rsidR="001F751B" w:rsidRPr="00D06BBF" w14:paraId="451C077E" w14:textId="77777777" w:rsidTr="00CF38FC">
        <w:tc>
          <w:tcPr>
            <w:tcW w:w="9016" w:type="dxa"/>
          </w:tcPr>
          <w:p w14:paraId="451C077D" w14:textId="6B3E5BCD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82" w14:textId="77777777" w:rsidTr="00CF38FC">
        <w:tc>
          <w:tcPr>
            <w:tcW w:w="9016" w:type="dxa"/>
          </w:tcPr>
          <w:p w14:paraId="451C077F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51C0780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  <w:r w:rsidRPr="00D06BBF">
              <w:rPr>
                <w:rFonts w:cstheme="minorHAnsi"/>
                <w:i/>
                <w:sz w:val="20"/>
                <w:szCs w:val="20"/>
              </w:rPr>
              <w:t>In respect of an update to a prior application announcement, the date of the original announcement should also be disclosed as follows:</w:t>
            </w:r>
          </w:p>
          <w:p w14:paraId="451C0781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F751B" w:rsidRPr="00D06BBF" w14:paraId="451C0784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83" w14:textId="77777777" w:rsidR="001F751B" w:rsidRPr="00D06BBF" w:rsidRDefault="001F751B" w:rsidP="00CF38FC">
            <w:pPr>
              <w:rPr>
                <w:rFonts w:cstheme="minorHAnsi"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UPDATE TO A PRIOR APPLICATION ANNOUNCEMENT RELEASED ON:</w:t>
            </w:r>
          </w:p>
        </w:tc>
      </w:tr>
      <w:tr w:rsidR="001F751B" w:rsidRPr="00D06BBF" w14:paraId="451C0786" w14:textId="77777777" w:rsidTr="00CF38FC">
        <w:tc>
          <w:tcPr>
            <w:tcW w:w="9016" w:type="dxa"/>
          </w:tcPr>
          <w:p w14:paraId="4465B073" w14:textId="77777777" w:rsidR="001F751B" w:rsidRDefault="001F751B" w:rsidP="00CF38FC">
            <w:pPr>
              <w:rPr>
                <w:rFonts w:cstheme="minorHAnsi"/>
                <w:sz w:val="20"/>
                <w:szCs w:val="20"/>
              </w:rPr>
            </w:pPr>
          </w:p>
          <w:p w14:paraId="6AB2C0D6" w14:textId="5BBFE8FE" w:rsidR="00D537D4" w:rsidRDefault="00D537D4" w:rsidP="00CF38FC">
            <w:pPr>
              <w:rPr>
                <w:rFonts w:cstheme="minorHAnsi"/>
                <w:sz w:val="20"/>
                <w:szCs w:val="20"/>
              </w:rPr>
            </w:pPr>
          </w:p>
          <w:p w14:paraId="451C0785" w14:textId="202F7500" w:rsidR="00D537D4" w:rsidRPr="00D06BBF" w:rsidRDefault="00D537D4" w:rsidP="00CF38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1C078C" w14:textId="77777777" w:rsidR="00B43664" w:rsidRDefault="00B43664" w:rsidP="007E030D"/>
    <w:sectPr w:rsidR="00B4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684" w:hanging="567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7" w:hanging="567"/>
      </w:pPr>
    </w:lvl>
    <w:lvl w:ilvl="4">
      <w:numFmt w:val="bullet"/>
      <w:lvlText w:val="•"/>
      <w:lvlJc w:val="left"/>
      <w:pPr>
        <w:ind w:left="4130" w:hanging="567"/>
      </w:pPr>
    </w:lvl>
    <w:lvl w:ilvl="5">
      <w:numFmt w:val="bullet"/>
      <w:lvlText w:val="•"/>
      <w:lvlJc w:val="left"/>
      <w:pPr>
        <w:ind w:left="4992" w:hanging="567"/>
      </w:pPr>
    </w:lvl>
    <w:lvl w:ilvl="6">
      <w:numFmt w:val="bullet"/>
      <w:lvlText w:val="•"/>
      <w:lvlJc w:val="left"/>
      <w:pPr>
        <w:ind w:left="5855" w:hanging="567"/>
      </w:pPr>
    </w:lvl>
    <w:lvl w:ilvl="7">
      <w:numFmt w:val="bullet"/>
      <w:lvlText w:val="•"/>
      <w:lvlJc w:val="left"/>
      <w:pPr>
        <w:ind w:left="6717" w:hanging="567"/>
      </w:pPr>
    </w:lvl>
    <w:lvl w:ilvl="8">
      <w:numFmt w:val="bullet"/>
      <w:lvlText w:val="•"/>
      <w:lvlJc w:val="left"/>
      <w:pPr>
        <w:ind w:left="7580" w:hanging="567"/>
      </w:pPr>
    </w:lvl>
  </w:abstractNum>
  <w:abstractNum w:abstractNumId="1" w15:restartNumberingAfterBreak="0">
    <w:nsid w:val="103A2527"/>
    <w:multiLevelType w:val="hybridMultilevel"/>
    <w:tmpl w:val="3706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17A97"/>
    <w:multiLevelType w:val="multilevel"/>
    <w:tmpl w:val="643015A4"/>
    <w:lvl w:ilvl="0">
      <w:start w:val="1"/>
      <w:numFmt w:val="decimal"/>
      <w:lvlText w:val="%1."/>
      <w:lvlJc w:val="left"/>
      <w:pPr>
        <w:ind w:left="684" w:hanging="567"/>
      </w:pPr>
      <w:rPr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7" w:hanging="567"/>
      </w:pPr>
    </w:lvl>
    <w:lvl w:ilvl="4">
      <w:numFmt w:val="bullet"/>
      <w:lvlText w:val="•"/>
      <w:lvlJc w:val="left"/>
      <w:pPr>
        <w:ind w:left="4130" w:hanging="567"/>
      </w:pPr>
    </w:lvl>
    <w:lvl w:ilvl="5">
      <w:numFmt w:val="bullet"/>
      <w:lvlText w:val="•"/>
      <w:lvlJc w:val="left"/>
      <w:pPr>
        <w:ind w:left="4992" w:hanging="567"/>
      </w:pPr>
    </w:lvl>
    <w:lvl w:ilvl="6">
      <w:numFmt w:val="bullet"/>
      <w:lvlText w:val="•"/>
      <w:lvlJc w:val="left"/>
      <w:pPr>
        <w:ind w:left="5855" w:hanging="567"/>
      </w:pPr>
    </w:lvl>
    <w:lvl w:ilvl="7">
      <w:numFmt w:val="bullet"/>
      <w:lvlText w:val="•"/>
      <w:lvlJc w:val="left"/>
      <w:pPr>
        <w:ind w:left="6717" w:hanging="567"/>
      </w:pPr>
    </w:lvl>
    <w:lvl w:ilvl="8">
      <w:numFmt w:val="bullet"/>
      <w:lvlText w:val="•"/>
      <w:lvlJc w:val="left"/>
      <w:pPr>
        <w:ind w:left="7580" w:hanging="567"/>
      </w:pPr>
    </w:lvl>
  </w:abstractNum>
  <w:abstractNum w:abstractNumId="3" w15:restartNumberingAfterBreak="0">
    <w:nsid w:val="609D2AA6"/>
    <w:multiLevelType w:val="hybridMultilevel"/>
    <w:tmpl w:val="C552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46313">
    <w:abstractNumId w:val="1"/>
  </w:num>
  <w:num w:numId="2" w16cid:durableId="510024985">
    <w:abstractNumId w:val="3"/>
  </w:num>
  <w:num w:numId="3" w16cid:durableId="793905955">
    <w:abstractNumId w:val="0"/>
  </w:num>
  <w:num w:numId="4" w16cid:durableId="147996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B43664"/>
    <w:rsid w:val="00021479"/>
    <w:rsid w:val="00062603"/>
    <w:rsid w:val="000F0898"/>
    <w:rsid w:val="001837C2"/>
    <w:rsid w:val="001E427E"/>
    <w:rsid w:val="001F751B"/>
    <w:rsid w:val="00206D53"/>
    <w:rsid w:val="00261A91"/>
    <w:rsid w:val="002651FB"/>
    <w:rsid w:val="00275827"/>
    <w:rsid w:val="00284385"/>
    <w:rsid w:val="0031518F"/>
    <w:rsid w:val="0034549B"/>
    <w:rsid w:val="00365FB2"/>
    <w:rsid w:val="00367445"/>
    <w:rsid w:val="003A0F92"/>
    <w:rsid w:val="003C1274"/>
    <w:rsid w:val="004138B6"/>
    <w:rsid w:val="00440093"/>
    <w:rsid w:val="00446394"/>
    <w:rsid w:val="004756F7"/>
    <w:rsid w:val="004A0876"/>
    <w:rsid w:val="004A5628"/>
    <w:rsid w:val="004D5D70"/>
    <w:rsid w:val="004E0D2A"/>
    <w:rsid w:val="004E2344"/>
    <w:rsid w:val="004F167E"/>
    <w:rsid w:val="004F2ABB"/>
    <w:rsid w:val="00505033"/>
    <w:rsid w:val="005635B6"/>
    <w:rsid w:val="005B5BC2"/>
    <w:rsid w:val="006368FE"/>
    <w:rsid w:val="00645F76"/>
    <w:rsid w:val="00660B11"/>
    <w:rsid w:val="006854A0"/>
    <w:rsid w:val="006D6FDA"/>
    <w:rsid w:val="00724AF0"/>
    <w:rsid w:val="007739C5"/>
    <w:rsid w:val="007870A4"/>
    <w:rsid w:val="007A51EA"/>
    <w:rsid w:val="007B3516"/>
    <w:rsid w:val="007E030D"/>
    <w:rsid w:val="007E6548"/>
    <w:rsid w:val="0083064F"/>
    <w:rsid w:val="00856E4A"/>
    <w:rsid w:val="00871C62"/>
    <w:rsid w:val="008801DD"/>
    <w:rsid w:val="008874C9"/>
    <w:rsid w:val="008C40E5"/>
    <w:rsid w:val="00907607"/>
    <w:rsid w:val="00921A0E"/>
    <w:rsid w:val="00952817"/>
    <w:rsid w:val="009E1231"/>
    <w:rsid w:val="00A704D1"/>
    <w:rsid w:val="00A76688"/>
    <w:rsid w:val="00AA52CC"/>
    <w:rsid w:val="00B00906"/>
    <w:rsid w:val="00B14A67"/>
    <w:rsid w:val="00B210B2"/>
    <w:rsid w:val="00B43664"/>
    <w:rsid w:val="00B57558"/>
    <w:rsid w:val="00B63A7A"/>
    <w:rsid w:val="00B82584"/>
    <w:rsid w:val="00BE7686"/>
    <w:rsid w:val="00C17DD2"/>
    <w:rsid w:val="00C2477D"/>
    <w:rsid w:val="00C320A1"/>
    <w:rsid w:val="00CA4D67"/>
    <w:rsid w:val="00CB61CD"/>
    <w:rsid w:val="00CC0E0A"/>
    <w:rsid w:val="00D0623B"/>
    <w:rsid w:val="00D06BBF"/>
    <w:rsid w:val="00D279C7"/>
    <w:rsid w:val="00D533D9"/>
    <w:rsid w:val="00D537D4"/>
    <w:rsid w:val="00D545C3"/>
    <w:rsid w:val="00D614AC"/>
    <w:rsid w:val="00DE649C"/>
    <w:rsid w:val="00E13D21"/>
    <w:rsid w:val="00E17A5D"/>
    <w:rsid w:val="00E4208A"/>
    <w:rsid w:val="00E865F1"/>
    <w:rsid w:val="00EA085C"/>
    <w:rsid w:val="00EC29F4"/>
    <w:rsid w:val="00EC484F"/>
    <w:rsid w:val="00F2187D"/>
    <w:rsid w:val="00F229F7"/>
    <w:rsid w:val="00F60593"/>
    <w:rsid w:val="00F61CCD"/>
    <w:rsid w:val="00F63146"/>
    <w:rsid w:val="00F94A54"/>
    <w:rsid w:val="00FB6662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072F"/>
  <w15:chartTrackingRefBased/>
  <w15:docId w15:val="{A90D6969-DD39-48B0-82A6-C2D3613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B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0898"/>
    <w:pPr>
      <w:widowControl w:val="0"/>
      <w:spacing w:after="0" w:line="240" w:lineRule="auto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E0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E1231"/>
    <w:pPr>
      <w:spacing w:after="0" w:line="240" w:lineRule="auto"/>
    </w:pPr>
    <w:rPr>
      <w:rFonts w:ascii="Calibri" w:eastAsia="Calibri" w:hAnsi="Calibri" w:cs="Calibri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E1231"/>
    <w:rPr>
      <w:rFonts w:ascii="Calibri" w:eastAsia="Calibri" w:hAnsi="Calibri" w:cs="Calibri"/>
      <w:sz w:val="18"/>
      <w:szCs w:val="18"/>
      <w:lang w:eastAsia="en-GB" w:bidi="en-GB"/>
    </w:rPr>
  </w:style>
  <w:style w:type="paragraph" w:styleId="ListParagraph">
    <w:name w:val="List Paragraph"/>
    <w:basedOn w:val="Normal"/>
    <w:uiPriority w:val="1"/>
    <w:qFormat/>
    <w:rsid w:val="007A51EA"/>
    <w:pPr>
      <w:ind w:left="720"/>
      <w:contextualSpacing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A76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seregulation@aquis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reengage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5b74dd898986bdf225c21dcd3628cc8c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6cc9a5a96abf60dfcc217ba7597f7403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Props1.xml><?xml version="1.0" encoding="utf-8"?>
<ds:datastoreItem xmlns:ds="http://schemas.openxmlformats.org/officeDocument/2006/customXml" ds:itemID="{822FBE2C-2768-4E29-A391-3FF98A558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EA936-B3F7-4DCE-8396-509C331E51D9}"/>
</file>

<file path=customXml/itemProps3.xml><?xml version="1.0" encoding="utf-8"?>
<ds:datastoreItem xmlns:ds="http://schemas.openxmlformats.org/officeDocument/2006/customXml" ds:itemID="{8DB0D99D-6990-4397-9B40-83E82D6525DD}">
  <ds:schemaRefs>
    <ds:schemaRef ds:uri="http://schemas.microsoft.com/office/2006/metadata/properties"/>
    <ds:schemaRef ds:uri="http://schemas.microsoft.com/office/infopath/2007/PartnerControls"/>
    <ds:schemaRef ds:uri="4f34f0e1-dafe-4e4c-b819-66b826c75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3590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Olm</dc:creator>
  <cp:keywords/>
  <dc:description/>
  <cp:lastModifiedBy>Samed Ethemi</cp:lastModifiedBy>
  <cp:revision>3</cp:revision>
  <dcterms:created xsi:type="dcterms:W3CDTF">2025-12-16T16:17:00Z</dcterms:created>
  <dcterms:modified xsi:type="dcterms:W3CDTF">2025-12-16T16:19:00Z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</Properties>
</file>