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311DB" w14:textId="77777777" w:rsidR="007E030D" w:rsidRPr="00D614AC" w:rsidRDefault="007E030D" w:rsidP="00D614AC">
      <w:pPr>
        <w:jc w:val="both"/>
        <w:rPr>
          <w:rFonts w:cstheme="minorHAnsi"/>
          <w:i/>
          <w:sz w:val="20"/>
          <w:szCs w:val="20"/>
        </w:rPr>
      </w:pPr>
    </w:p>
    <w:tbl>
      <w:tblPr>
        <w:tblStyle w:val="TableGrid"/>
        <w:tblW w:w="0" w:type="auto"/>
        <w:tblLook w:val="04A0" w:firstRow="1" w:lastRow="0" w:firstColumn="1" w:lastColumn="0" w:noHBand="0" w:noVBand="1"/>
      </w:tblPr>
      <w:tblGrid>
        <w:gridCol w:w="9016"/>
      </w:tblGrid>
      <w:tr w:rsidR="00F61CCD" w:rsidRPr="00D06BBF" w14:paraId="451C0738" w14:textId="77777777" w:rsidTr="7B8D649C">
        <w:tc>
          <w:tcPr>
            <w:tcW w:w="9016" w:type="dxa"/>
            <w:shd w:val="clear" w:color="auto" w:fill="BFBFBF" w:themeFill="background1" w:themeFillShade="BF"/>
          </w:tcPr>
          <w:p w14:paraId="38A9CC45" w14:textId="77777777" w:rsidR="00D545C3" w:rsidRDefault="00D545C3" w:rsidP="00F61CCD">
            <w:pPr>
              <w:jc w:val="center"/>
              <w:rPr>
                <w:rFonts w:cstheme="minorHAnsi"/>
                <w:i/>
                <w:sz w:val="20"/>
                <w:szCs w:val="20"/>
              </w:rPr>
            </w:pPr>
          </w:p>
          <w:p w14:paraId="7D0C71A4" w14:textId="77777777" w:rsidR="00F61CCD" w:rsidRDefault="00F61CCD" w:rsidP="00F61CCD">
            <w:pPr>
              <w:jc w:val="center"/>
              <w:rPr>
                <w:rFonts w:cstheme="minorHAnsi"/>
                <w:b/>
                <w:sz w:val="20"/>
                <w:szCs w:val="20"/>
              </w:rPr>
            </w:pPr>
            <w:r w:rsidRPr="00D06BBF">
              <w:rPr>
                <w:rFonts w:cstheme="minorHAnsi"/>
                <w:b/>
                <w:sz w:val="20"/>
                <w:szCs w:val="20"/>
              </w:rPr>
              <w:t xml:space="preserve">ANNOUNCEMENT OF APPLICATION FOR ADMISSION TO </w:t>
            </w:r>
            <w:r w:rsidR="00C320A1" w:rsidRPr="00D06BBF">
              <w:rPr>
                <w:rFonts w:cstheme="minorHAnsi"/>
                <w:b/>
                <w:sz w:val="20"/>
                <w:szCs w:val="20"/>
              </w:rPr>
              <w:t xml:space="preserve">THE </w:t>
            </w:r>
            <w:r w:rsidR="0031518F">
              <w:rPr>
                <w:rFonts w:cstheme="minorHAnsi"/>
                <w:b/>
                <w:sz w:val="20"/>
                <w:szCs w:val="20"/>
              </w:rPr>
              <w:t>AQSE</w:t>
            </w:r>
            <w:r w:rsidRPr="00D06BBF">
              <w:rPr>
                <w:rFonts w:cstheme="minorHAnsi"/>
                <w:b/>
                <w:sz w:val="20"/>
                <w:szCs w:val="20"/>
              </w:rPr>
              <w:t xml:space="preserve"> GROWTH MARKET</w:t>
            </w:r>
          </w:p>
          <w:p w14:paraId="451C0737" w14:textId="0F1D95E7" w:rsidR="00D545C3" w:rsidRPr="00D06BBF" w:rsidRDefault="00D545C3" w:rsidP="00F61CCD">
            <w:pPr>
              <w:jc w:val="center"/>
              <w:rPr>
                <w:rFonts w:cstheme="minorHAnsi"/>
                <w:b/>
                <w:sz w:val="20"/>
                <w:szCs w:val="20"/>
              </w:rPr>
            </w:pPr>
          </w:p>
        </w:tc>
      </w:tr>
      <w:tr w:rsidR="00F61CCD" w:rsidRPr="00D06BBF" w14:paraId="451C073A" w14:textId="77777777" w:rsidTr="7B8D649C">
        <w:tc>
          <w:tcPr>
            <w:tcW w:w="9016" w:type="dxa"/>
          </w:tcPr>
          <w:p w14:paraId="451C0739" w14:textId="77777777" w:rsidR="00F61CCD" w:rsidRPr="00D06BBF" w:rsidRDefault="00F61CCD" w:rsidP="00B43664">
            <w:pPr>
              <w:rPr>
                <w:rFonts w:cstheme="minorHAnsi"/>
                <w:sz w:val="20"/>
                <w:szCs w:val="20"/>
              </w:rPr>
            </w:pPr>
          </w:p>
        </w:tc>
      </w:tr>
      <w:tr w:rsidR="00F61CCD" w:rsidRPr="00D06BBF" w14:paraId="451C073C" w14:textId="77777777" w:rsidTr="7B8D649C">
        <w:tc>
          <w:tcPr>
            <w:tcW w:w="9016" w:type="dxa"/>
            <w:shd w:val="clear" w:color="auto" w:fill="D9D9D9" w:themeFill="background1" w:themeFillShade="D9"/>
          </w:tcPr>
          <w:p w14:paraId="451C073B" w14:textId="77777777" w:rsidR="00F61CCD" w:rsidRPr="00D06BBF" w:rsidRDefault="00C320A1" w:rsidP="00CC0E0A">
            <w:pPr>
              <w:rPr>
                <w:rFonts w:cstheme="minorHAnsi"/>
                <w:b/>
                <w:sz w:val="20"/>
                <w:szCs w:val="20"/>
              </w:rPr>
            </w:pPr>
            <w:r w:rsidRPr="00D06BBF">
              <w:rPr>
                <w:rFonts w:cstheme="minorHAnsi"/>
                <w:b/>
                <w:sz w:val="20"/>
                <w:szCs w:val="20"/>
              </w:rPr>
              <w:t>APPLICANT NAME:</w:t>
            </w:r>
          </w:p>
        </w:tc>
      </w:tr>
      <w:tr w:rsidR="00F61CCD" w:rsidRPr="00D06BBF" w14:paraId="451C073E" w14:textId="77777777" w:rsidTr="7B8D649C">
        <w:tc>
          <w:tcPr>
            <w:tcW w:w="9016" w:type="dxa"/>
          </w:tcPr>
          <w:p w14:paraId="59FB0F69" w14:textId="77777777" w:rsidR="00D279AC" w:rsidRDefault="00D279AC" w:rsidP="00206D53">
            <w:pPr>
              <w:rPr>
                <w:rFonts w:cstheme="minorHAnsi"/>
                <w:sz w:val="20"/>
                <w:szCs w:val="20"/>
              </w:rPr>
            </w:pPr>
          </w:p>
          <w:p w14:paraId="21678D1E" w14:textId="0CCAC52D" w:rsidR="007E030D" w:rsidRDefault="00852FA6" w:rsidP="00206D53">
            <w:pPr>
              <w:rPr>
                <w:rFonts w:cstheme="minorHAnsi"/>
                <w:sz w:val="20"/>
                <w:szCs w:val="20"/>
              </w:rPr>
            </w:pPr>
            <w:r>
              <w:rPr>
                <w:rFonts w:cstheme="minorHAnsi"/>
                <w:sz w:val="20"/>
                <w:szCs w:val="20"/>
              </w:rPr>
              <w:t>Uranium Energy Exploration Plc (to be renamed The Smarter Web Company Plc from Admission)</w:t>
            </w:r>
          </w:p>
          <w:p w14:paraId="451C073D" w14:textId="144B3CCD" w:rsidR="00852FA6" w:rsidRPr="00D06BBF" w:rsidRDefault="00852FA6" w:rsidP="00206D53">
            <w:pPr>
              <w:rPr>
                <w:rFonts w:cstheme="minorHAnsi"/>
                <w:sz w:val="20"/>
                <w:szCs w:val="20"/>
              </w:rPr>
            </w:pPr>
          </w:p>
        </w:tc>
      </w:tr>
      <w:tr w:rsidR="00F61CCD" w:rsidRPr="00D06BBF" w14:paraId="451C0740" w14:textId="77777777" w:rsidTr="7B8D649C">
        <w:tc>
          <w:tcPr>
            <w:tcW w:w="9016" w:type="dxa"/>
            <w:shd w:val="clear" w:color="auto" w:fill="D9D9D9" w:themeFill="background1" w:themeFillShade="D9"/>
          </w:tcPr>
          <w:p w14:paraId="451C073F" w14:textId="03F8099F" w:rsidR="00F61CCD" w:rsidRPr="00D06BBF" w:rsidRDefault="00C320A1" w:rsidP="00CC0E0A">
            <w:pPr>
              <w:rPr>
                <w:rFonts w:cstheme="minorHAnsi"/>
                <w:b/>
                <w:sz w:val="20"/>
                <w:szCs w:val="20"/>
              </w:rPr>
            </w:pPr>
            <w:r w:rsidRPr="00D06BBF">
              <w:rPr>
                <w:rFonts w:cstheme="minorHAnsi"/>
                <w:b/>
                <w:sz w:val="20"/>
                <w:szCs w:val="20"/>
              </w:rPr>
              <w:t>APPLICANT REGISTERED OFFICE, PRINCIP</w:t>
            </w:r>
            <w:r w:rsidR="00B32D2B">
              <w:rPr>
                <w:rFonts w:cstheme="minorHAnsi"/>
                <w:b/>
                <w:sz w:val="20"/>
                <w:szCs w:val="20"/>
              </w:rPr>
              <w:t>AL</w:t>
            </w:r>
            <w:r w:rsidRPr="00D06BBF">
              <w:rPr>
                <w:rFonts w:cstheme="minorHAnsi"/>
                <w:b/>
                <w:sz w:val="20"/>
                <w:szCs w:val="20"/>
              </w:rPr>
              <w:t xml:space="preserve"> PLACE OF BUSINESS (IF DIFFERENT) AND TELEPHONE NUMBER:</w:t>
            </w:r>
          </w:p>
        </w:tc>
      </w:tr>
      <w:tr w:rsidR="00F61CCD" w:rsidRPr="00D06BBF" w14:paraId="451C0742" w14:textId="77777777" w:rsidTr="7B8D649C">
        <w:tc>
          <w:tcPr>
            <w:tcW w:w="9016" w:type="dxa"/>
          </w:tcPr>
          <w:p w14:paraId="765418E0" w14:textId="77777777" w:rsidR="00852FA6" w:rsidRDefault="00852FA6" w:rsidP="00852FA6">
            <w:pPr>
              <w:rPr>
                <w:rFonts w:ascii="Arial" w:hAnsi="Arial" w:cs="Arial"/>
                <w:sz w:val="20"/>
                <w:szCs w:val="20"/>
              </w:rPr>
            </w:pPr>
          </w:p>
          <w:p w14:paraId="72E05077" w14:textId="5C1839BA" w:rsidR="00A213A7" w:rsidRPr="009C597F" w:rsidRDefault="00A213A7" w:rsidP="00852FA6">
            <w:pPr>
              <w:rPr>
                <w:rFonts w:cstheme="minorHAnsi"/>
                <w:b/>
                <w:bCs/>
                <w:sz w:val="20"/>
                <w:szCs w:val="20"/>
              </w:rPr>
            </w:pPr>
            <w:r w:rsidRPr="009C597F">
              <w:rPr>
                <w:rFonts w:cstheme="minorHAnsi"/>
                <w:b/>
                <w:bCs/>
                <w:sz w:val="20"/>
                <w:szCs w:val="20"/>
              </w:rPr>
              <w:t>Re</w:t>
            </w:r>
            <w:r w:rsidR="000F1A04" w:rsidRPr="009C597F">
              <w:rPr>
                <w:rFonts w:cstheme="minorHAnsi"/>
                <w:b/>
                <w:bCs/>
                <w:sz w:val="20"/>
                <w:szCs w:val="20"/>
              </w:rPr>
              <w:t>gistered Office:</w:t>
            </w:r>
          </w:p>
          <w:p w14:paraId="2F468A11" w14:textId="0E4E74B7" w:rsidR="00852FA6" w:rsidRPr="00683C15" w:rsidRDefault="00852FA6" w:rsidP="00852FA6">
            <w:pPr>
              <w:rPr>
                <w:rFonts w:cstheme="minorHAnsi"/>
                <w:sz w:val="20"/>
                <w:szCs w:val="20"/>
              </w:rPr>
            </w:pPr>
            <w:r w:rsidRPr="00683C15">
              <w:rPr>
                <w:rFonts w:cstheme="minorHAnsi"/>
                <w:sz w:val="20"/>
                <w:szCs w:val="20"/>
              </w:rPr>
              <w:t>Suite 11</w:t>
            </w:r>
          </w:p>
          <w:p w14:paraId="402B6852" w14:textId="77777777" w:rsidR="00852FA6" w:rsidRPr="00683C15" w:rsidRDefault="00852FA6" w:rsidP="00852FA6">
            <w:pPr>
              <w:rPr>
                <w:rFonts w:cstheme="minorHAnsi"/>
                <w:sz w:val="20"/>
                <w:szCs w:val="20"/>
              </w:rPr>
            </w:pPr>
            <w:r w:rsidRPr="00683C15">
              <w:rPr>
                <w:rFonts w:cstheme="minorHAnsi"/>
                <w:sz w:val="20"/>
                <w:szCs w:val="20"/>
              </w:rPr>
              <w:t>14 London Road</w:t>
            </w:r>
          </w:p>
          <w:p w14:paraId="5C4DE9D4" w14:textId="77777777" w:rsidR="00852FA6" w:rsidRPr="00683C15" w:rsidRDefault="00852FA6" w:rsidP="00852FA6">
            <w:pPr>
              <w:rPr>
                <w:rFonts w:cstheme="minorHAnsi"/>
                <w:sz w:val="20"/>
                <w:szCs w:val="20"/>
              </w:rPr>
            </w:pPr>
            <w:r w:rsidRPr="00683C15">
              <w:rPr>
                <w:rFonts w:cstheme="minorHAnsi"/>
                <w:sz w:val="20"/>
                <w:szCs w:val="20"/>
              </w:rPr>
              <w:t>Guildford</w:t>
            </w:r>
          </w:p>
          <w:p w14:paraId="34105444" w14:textId="77777777" w:rsidR="00852FA6" w:rsidRPr="00683C15" w:rsidRDefault="00852FA6" w:rsidP="00852FA6">
            <w:pPr>
              <w:rPr>
                <w:rFonts w:cstheme="minorHAnsi"/>
                <w:sz w:val="20"/>
                <w:szCs w:val="20"/>
              </w:rPr>
            </w:pPr>
            <w:r w:rsidRPr="00683C15">
              <w:rPr>
                <w:rFonts w:cstheme="minorHAnsi"/>
                <w:sz w:val="20"/>
                <w:szCs w:val="20"/>
              </w:rPr>
              <w:t>Surrey, GU1 2AG</w:t>
            </w:r>
          </w:p>
          <w:p w14:paraId="277A061B" w14:textId="77777777" w:rsidR="000F1A04" w:rsidRDefault="000F1A04" w:rsidP="00852FA6">
            <w:pPr>
              <w:rPr>
                <w:rFonts w:cstheme="minorHAnsi"/>
                <w:sz w:val="20"/>
                <w:szCs w:val="20"/>
              </w:rPr>
            </w:pPr>
          </w:p>
          <w:p w14:paraId="796BD74F" w14:textId="25233B67" w:rsidR="000F1A04" w:rsidRPr="009C597F" w:rsidRDefault="000F1A04" w:rsidP="00852FA6">
            <w:pPr>
              <w:rPr>
                <w:rFonts w:cstheme="minorHAnsi"/>
                <w:b/>
                <w:bCs/>
                <w:sz w:val="20"/>
                <w:szCs w:val="20"/>
              </w:rPr>
            </w:pPr>
            <w:r w:rsidRPr="009C597F">
              <w:rPr>
                <w:rFonts w:cstheme="minorHAnsi"/>
                <w:b/>
                <w:bCs/>
                <w:sz w:val="20"/>
                <w:szCs w:val="20"/>
              </w:rPr>
              <w:t>Princip</w:t>
            </w:r>
            <w:r w:rsidR="004F30B0">
              <w:rPr>
                <w:rFonts w:cstheme="minorHAnsi"/>
                <w:b/>
                <w:bCs/>
                <w:sz w:val="20"/>
                <w:szCs w:val="20"/>
              </w:rPr>
              <w:t>al</w:t>
            </w:r>
            <w:r w:rsidRPr="009C597F">
              <w:rPr>
                <w:rFonts w:cstheme="minorHAnsi"/>
                <w:b/>
                <w:bCs/>
                <w:sz w:val="20"/>
                <w:szCs w:val="20"/>
              </w:rPr>
              <w:t xml:space="preserve"> Place of Business:</w:t>
            </w:r>
          </w:p>
          <w:p w14:paraId="4BE1B765" w14:textId="77777777" w:rsidR="00B1039F" w:rsidRPr="00683C15" w:rsidRDefault="00B1039F" w:rsidP="00B1039F">
            <w:pPr>
              <w:rPr>
                <w:rFonts w:cstheme="minorHAnsi"/>
                <w:sz w:val="20"/>
                <w:szCs w:val="20"/>
              </w:rPr>
            </w:pPr>
            <w:r w:rsidRPr="00683C15">
              <w:rPr>
                <w:rFonts w:cstheme="minorHAnsi"/>
                <w:sz w:val="20"/>
                <w:szCs w:val="20"/>
              </w:rPr>
              <w:t>Suite 11</w:t>
            </w:r>
          </w:p>
          <w:p w14:paraId="2D458206" w14:textId="77777777" w:rsidR="00B1039F" w:rsidRPr="00683C15" w:rsidRDefault="00B1039F" w:rsidP="00B1039F">
            <w:pPr>
              <w:rPr>
                <w:rFonts w:cstheme="minorHAnsi"/>
                <w:sz w:val="20"/>
                <w:szCs w:val="20"/>
              </w:rPr>
            </w:pPr>
            <w:r w:rsidRPr="00683C15">
              <w:rPr>
                <w:rFonts w:cstheme="minorHAnsi"/>
                <w:sz w:val="20"/>
                <w:szCs w:val="20"/>
              </w:rPr>
              <w:t>14 London Road</w:t>
            </w:r>
          </w:p>
          <w:p w14:paraId="5E99DBF9" w14:textId="77777777" w:rsidR="00B1039F" w:rsidRPr="00683C15" w:rsidRDefault="00B1039F" w:rsidP="00B1039F">
            <w:pPr>
              <w:rPr>
                <w:rFonts w:cstheme="minorHAnsi"/>
                <w:sz w:val="20"/>
                <w:szCs w:val="20"/>
              </w:rPr>
            </w:pPr>
            <w:r w:rsidRPr="00683C15">
              <w:rPr>
                <w:rFonts w:cstheme="minorHAnsi"/>
                <w:sz w:val="20"/>
                <w:szCs w:val="20"/>
              </w:rPr>
              <w:t>Guildford</w:t>
            </w:r>
          </w:p>
          <w:p w14:paraId="4F98B759" w14:textId="77777777" w:rsidR="00B1039F" w:rsidRPr="00683C15" w:rsidRDefault="00B1039F" w:rsidP="00B1039F">
            <w:pPr>
              <w:rPr>
                <w:rFonts w:cstheme="minorHAnsi"/>
                <w:sz w:val="20"/>
                <w:szCs w:val="20"/>
              </w:rPr>
            </w:pPr>
            <w:r w:rsidRPr="00683C15">
              <w:rPr>
                <w:rFonts w:cstheme="minorHAnsi"/>
                <w:sz w:val="20"/>
                <w:szCs w:val="20"/>
              </w:rPr>
              <w:t>Surrey, GU1 2AG</w:t>
            </w:r>
          </w:p>
          <w:p w14:paraId="451C0741" w14:textId="2C67BDBB" w:rsidR="00852FA6" w:rsidRPr="00D06BBF" w:rsidRDefault="00852FA6" w:rsidP="00852FA6">
            <w:pPr>
              <w:rPr>
                <w:rFonts w:cstheme="minorHAnsi"/>
                <w:sz w:val="20"/>
                <w:szCs w:val="20"/>
              </w:rPr>
            </w:pPr>
          </w:p>
        </w:tc>
      </w:tr>
      <w:tr w:rsidR="00F61CCD" w:rsidRPr="00D06BBF" w14:paraId="451C0744" w14:textId="77777777" w:rsidTr="7B8D649C">
        <w:tc>
          <w:tcPr>
            <w:tcW w:w="9016" w:type="dxa"/>
            <w:shd w:val="clear" w:color="auto" w:fill="D9D9D9" w:themeFill="background1" w:themeFillShade="D9"/>
          </w:tcPr>
          <w:p w14:paraId="451C0743" w14:textId="77777777" w:rsidR="00F61CCD" w:rsidRPr="00D06BBF" w:rsidRDefault="00C320A1" w:rsidP="00B43664">
            <w:pPr>
              <w:rPr>
                <w:rFonts w:cstheme="minorHAnsi"/>
                <w:b/>
                <w:sz w:val="20"/>
                <w:szCs w:val="20"/>
              </w:rPr>
            </w:pPr>
            <w:r w:rsidRPr="00D06BBF">
              <w:rPr>
                <w:rFonts w:cstheme="minorHAnsi"/>
                <w:b/>
                <w:sz w:val="20"/>
                <w:szCs w:val="20"/>
              </w:rPr>
              <w:t>DIRECTORS AND PROPOSED DIRECTORS (IF APPLICABLE)</w:t>
            </w:r>
            <w:r w:rsidR="001F751B" w:rsidRPr="00D06BBF">
              <w:rPr>
                <w:rFonts w:cstheme="minorHAnsi"/>
                <w:b/>
                <w:sz w:val="20"/>
                <w:szCs w:val="20"/>
              </w:rPr>
              <w:t>:</w:t>
            </w:r>
          </w:p>
        </w:tc>
      </w:tr>
      <w:tr w:rsidR="00F61CCD" w:rsidRPr="00D06BBF" w14:paraId="451C0746" w14:textId="77777777" w:rsidTr="7B8D649C">
        <w:tc>
          <w:tcPr>
            <w:tcW w:w="9016" w:type="dxa"/>
          </w:tcPr>
          <w:p w14:paraId="0E455143" w14:textId="77777777" w:rsidR="007E030D" w:rsidRDefault="007E030D" w:rsidP="00B43664">
            <w:pPr>
              <w:rPr>
                <w:rFonts w:cstheme="minorHAnsi"/>
                <w:sz w:val="20"/>
                <w:szCs w:val="20"/>
              </w:rPr>
            </w:pPr>
          </w:p>
          <w:p w14:paraId="08BEA2A7" w14:textId="67DC98BD" w:rsidR="00852FA6" w:rsidRPr="00852FA6" w:rsidRDefault="00852FA6" w:rsidP="00852FA6">
            <w:pPr>
              <w:rPr>
                <w:rFonts w:cstheme="minorHAnsi"/>
                <w:sz w:val="20"/>
                <w:szCs w:val="20"/>
              </w:rPr>
            </w:pPr>
            <w:r w:rsidRPr="00852FA6">
              <w:rPr>
                <w:rFonts w:cstheme="minorHAnsi"/>
                <w:sz w:val="20"/>
                <w:szCs w:val="20"/>
              </w:rPr>
              <w:t>Andrew Simon John Webley (Chief Executive Officer)</w:t>
            </w:r>
          </w:p>
          <w:p w14:paraId="1472A5AE" w14:textId="14DC7643" w:rsidR="00852FA6" w:rsidRPr="00852FA6" w:rsidRDefault="00852FA6" w:rsidP="00852FA6">
            <w:pPr>
              <w:rPr>
                <w:rFonts w:cstheme="minorHAnsi"/>
                <w:sz w:val="20"/>
                <w:szCs w:val="20"/>
              </w:rPr>
            </w:pPr>
            <w:r w:rsidRPr="00852FA6">
              <w:rPr>
                <w:rFonts w:cstheme="minorHAnsi"/>
                <w:sz w:val="20"/>
                <w:szCs w:val="20"/>
              </w:rPr>
              <w:t>Sean Edward Wade (Non- Executive Chairman)</w:t>
            </w:r>
          </w:p>
          <w:p w14:paraId="0D4AC2DB" w14:textId="68B19585" w:rsidR="00852FA6" w:rsidRPr="00852FA6" w:rsidRDefault="00852FA6" w:rsidP="00852FA6">
            <w:pPr>
              <w:rPr>
                <w:rFonts w:cstheme="minorHAnsi"/>
                <w:sz w:val="20"/>
                <w:szCs w:val="20"/>
              </w:rPr>
            </w:pPr>
            <w:r w:rsidRPr="00852FA6">
              <w:rPr>
                <w:rFonts w:cstheme="minorHAnsi"/>
                <w:sz w:val="20"/>
                <w:szCs w:val="20"/>
              </w:rPr>
              <w:t>Mario Visconti (Chief Financial Officer)</w:t>
            </w:r>
          </w:p>
          <w:p w14:paraId="0821F958" w14:textId="7FC1FD75" w:rsidR="00852FA6" w:rsidRPr="00852FA6" w:rsidRDefault="00852FA6" w:rsidP="00852FA6">
            <w:pPr>
              <w:rPr>
                <w:rFonts w:cstheme="minorHAnsi"/>
                <w:sz w:val="20"/>
                <w:szCs w:val="20"/>
              </w:rPr>
            </w:pPr>
            <w:r w:rsidRPr="00852FA6">
              <w:rPr>
                <w:rFonts w:cstheme="minorHAnsi"/>
                <w:sz w:val="20"/>
                <w:szCs w:val="20"/>
              </w:rPr>
              <w:t>Tyler Matthew Evans (Non-Executive Director)</w:t>
            </w:r>
          </w:p>
          <w:p w14:paraId="451C0745" w14:textId="47B6D129" w:rsidR="007E030D" w:rsidRPr="00D06BBF" w:rsidRDefault="007E030D" w:rsidP="00206D53">
            <w:pPr>
              <w:rPr>
                <w:rFonts w:cstheme="minorHAnsi"/>
                <w:sz w:val="20"/>
                <w:szCs w:val="20"/>
              </w:rPr>
            </w:pPr>
          </w:p>
        </w:tc>
      </w:tr>
      <w:tr w:rsidR="00C320A1" w:rsidRPr="00D06BBF" w14:paraId="451C0748" w14:textId="77777777" w:rsidTr="7B8D649C">
        <w:tc>
          <w:tcPr>
            <w:tcW w:w="9016" w:type="dxa"/>
            <w:shd w:val="clear" w:color="auto" w:fill="D9D9D9" w:themeFill="background1" w:themeFillShade="D9"/>
          </w:tcPr>
          <w:p w14:paraId="451C0747" w14:textId="77777777" w:rsidR="00C320A1" w:rsidRPr="00D06BBF" w:rsidRDefault="00C320A1" w:rsidP="00B43664">
            <w:pPr>
              <w:rPr>
                <w:rFonts w:cstheme="minorHAnsi"/>
                <w:b/>
                <w:sz w:val="20"/>
                <w:szCs w:val="20"/>
              </w:rPr>
            </w:pPr>
            <w:r w:rsidRPr="00D06BBF">
              <w:rPr>
                <w:rFonts w:cstheme="minorHAnsi"/>
                <w:b/>
                <w:sz w:val="20"/>
                <w:szCs w:val="20"/>
              </w:rPr>
              <w:t>APPLICANT SECTOR:</w:t>
            </w:r>
          </w:p>
        </w:tc>
      </w:tr>
      <w:tr w:rsidR="00C320A1" w:rsidRPr="00D06BBF" w14:paraId="451C074A" w14:textId="77777777" w:rsidTr="7B8D649C">
        <w:tc>
          <w:tcPr>
            <w:tcW w:w="9016" w:type="dxa"/>
          </w:tcPr>
          <w:p w14:paraId="1AA5C291" w14:textId="77777777" w:rsidR="00D545C3" w:rsidRDefault="00D545C3" w:rsidP="00B43664">
            <w:pPr>
              <w:rPr>
                <w:rFonts w:cstheme="minorHAnsi"/>
                <w:sz w:val="20"/>
                <w:szCs w:val="20"/>
              </w:rPr>
            </w:pPr>
          </w:p>
          <w:p w14:paraId="49610F60" w14:textId="329541DD" w:rsidR="00852FA6" w:rsidRDefault="00712B4A" w:rsidP="00B43664">
            <w:pPr>
              <w:rPr>
                <w:rFonts w:cstheme="minorHAnsi"/>
                <w:sz w:val="20"/>
                <w:szCs w:val="20"/>
              </w:rPr>
            </w:pPr>
            <w:r>
              <w:rPr>
                <w:rFonts w:cstheme="minorHAnsi"/>
                <w:sz w:val="20"/>
                <w:szCs w:val="20"/>
              </w:rPr>
              <w:t xml:space="preserve">Information </w:t>
            </w:r>
            <w:r w:rsidR="00852FA6">
              <w:rPr>
                <w:rFonts w:cstheme="minorHAnsi"/>
                <w:sz w:val="20"/>
                <w:szCs w:val="20"/>
              </w:rPr>
              <w:t>Technology</w:t>
            </w:r>
          </w:p>
          <w:p w14:paraId="451C0749" w14:textId="650E3D8B" w:rsidR="00D545C3" w:rsidRPr="00D06BBF" w:rsidRDefault="00D545C3" w:rsidP="00206D53">
            <w:pPr>
              <w:rPr>
                <w:rFonts w:cstheme="minorHAnsi"/>
                <w:sz w:val="20"/>
                <w:szCs w:val="20"/>
              </w:rPr>
            </w:pPr>
          </w:p>
        </w:tc>
      </w:tr>
      <w:tr w:rsidR="00C320A1" w:rsidRPr="00D06BBF" w14:paraId="451C074C" w14:textId="77777777" w:rsidTr="7B8D649C">
        <w:tc>
          <w:tcPr>
            <w:tcW w:w="9016" w:type="dxa"/>
            <w:shd w:val="clear" w:color="auto" w:fill="D9D9D9" w:themeFill="background1" w:themeFillShade="D9"/>
          </w:tcPr>
          <w:p w14:paraId="451C074B" w14:textId="77777777" w:rsidR="00C320A1" w:rsidRPr="00D06BBF" w:rsidRDefault="00C320A1" w:rsidP="00B43664">
            <w:pPr>
              <w:rPr>
                <w:rFonts w:cstheme="minorHAnsi"/>
                <w:b/>
                <w:sz w:val="20"/>
                <w:szCs w:val="20"/>
              </w:rPr>
            </w:pPr>
            <w:r w:rsidRPr="00D06BBF">
              <w:rPr>
                <w:rFonts w:cstheme="minorHAnsi"/>
                <w:b/>
                <w:sz w:val="20"/>
                <w:szCs w:val="20"/>
              </w:rPr>
              <w:t>DESCRIPTION OF THE APPLICANT AND ITS ACTIVITIES:</w:t>
            </w:r>
          </w:p>
        </w:tc>
      </w:tr>
      <w:tr w:rsidR="00C320A1" w:rsidRPr="00D06BBF" w14:paraId="451C074E" w14:textId="77777777" w:rsidTr="7B8D649C">
        <w:tc>
          <w:tcPr>
            <w:tcW w:w="9016" w:type="dxa"/>
          </w:tcPr>
          <w:p w14:paraId="224C6D4A" w14:textId="77777777" w:rsidR="00852FA6" w:rsidRDefault="00852FA6" w:rsidP="0034549B">
            <w:pPr>
              <w:rPr>
                <w:rFonts w:cstheme="minorHAnsi"/>
                <w:sz w:val="20"/>
                <w:szCs w:val="20"/>
              </w:rPr>
            </w:pPr>
          </w:p>
          <w:p w14:paraId="76DED2C5" w14:textId="77777777" w:rsidR="00E12865" w:rsidRPr="00E12865" w:rsidRDefault="00E12865" w:rsidP="008E13A7">
            <w:pPr>
              <w:jc w:val="both"/>
              <w:rPr>
                <w:rFonts w:cstheme="minorHAnsi"/>
                <w:sz w:val="20"/>
                <w:szCs w:val="20"/>
              </w:rPr>
            </w:pPr>
            <w:r w:rsidRPr="00E12865">
              <w:rPr>
                <w:rFonts w:cstheme="minorHAnsi"/>
                <w:sz w:val="20"/>
                <w:szCs w:val="20"/>
              </w:rPr>
              <w:t>The Smarter Web Company, is a UK-based web design agency, specialising in creating bespoke, mobile-friendly websites and offers a range of online marketing strategies to help businesses of all sizes enhance their online presence. Services include various web design packages, logo design, Search Engine Optimisation, animation and custom development. Each website is designed and built by a team of in-house web designers, providing clients with full content management capabilities to update their sites as needed.</w:t>
            </w:r>
          </w:p>
          <w:p w14:paraId="5D48D264" w14:textId="77777777" w:rsidR="00E12865" w:rsidRPr="00E12865" w:rsidRDefault="00E12865" w:rsidP="00E12865">
            <w:pPr>
              <w:rPr>
                <w:rFonts w:cstheme="minorHAnsi"/>
                <w:sz w:val="20"/>
                <w:szCs w:val="20"/>
              </w:rPr>
            </w:pPr>
          </w:p>
          <w:p w14:paraId="4DBC25DC" w14:textId="77777777" w:rsidR="00E12865" w:rsidRPr="00E12865" w:rsidRDefault="00E12865" w:rsidP="008E13A7">
            <w:pPr>
              <w:jc w:val="both"/>
              <w:rPr>
                <w:rFonts w:cstheme="minorHAnsi"/>
                <w:sz w:val="20"/>
                <w:szCs w:val="20"/>
              </w:rPr>
            </w:pPr>
            <w:r w:rsidRPr="00E12865">
              <w:rPr>
                <w:rFonts w:cstheme="minorHAnsi"/>
                <w:sz w:val="20"/>
                <w:szCs w:val="20"/>
              </w:rPr>
              <w:t>The Company aims to grow revenue through both increasing service adoption with existing clients and expanding its client base. The Company will also progress an acquisition strategy targeting other businesses with a view to growing its number of clients and / or recurring revenue. The Smarter Web Company will only make acquisitions where the Directors believe the timing and opportunity is appropriate.</w:t>
            </w:r>
          </w:p>
          <w:p w14:paraId="46055977" w14:textId="77777777" w:rsidR="00E12865" w:rsidRPr="00E12865" w:rsidRDefault="00E12865" w:rsidP="00E12865">
            <w:pPr>
              <w:rPr>
                <w:rFonts w:cstheme="minorHAnsi"/>
                <w:sz w:val="20"/>
                <w:szCs w:val="20"/>
              </w:rPr>
            </w:pPr>
          </w:p>
          <w:p w14:paraId="35DAC1AB" w14:textId="24529C07" w:rsidR="00645F76" w:rsidRDefault="00CC0795" w:rsidP="00E12865">
            <w:pPr>
              <w:jc w:val="both"/>
              <w:textAlignment w:val="baseline"/>
              <w:rPr>
                <w:rFonts w:cstheme="minorHAnsi"/>
                <w:sz w:val="20"/>
                <w:szCs w:val="20"/>
              </w:rPr>
            </w:pPr>
            <w:r w:rsidRPr="00CC0795">
              <w:rPr>
                <w:rFonts w:cstheme="minorHAnsi"/>
                <w:sz w:val="20"/>
                <w:szCs w:val="20"/>
              </w:rPr>
              <w:t xml:space="preserve">Since 2023 </w:t>
            </w:r>
            <w:r w:rsidR="00E12865" w:rsidRPr="00E12865">
              <w:rPr>
                <w:rFonts w:cstheme="minorHAnsi"/>
                <w:sz w:val="20"/>
                <w:szCs w:val="20"/>
              </w:rPr>
              <w:t xml:space="preserve">The Smarter Web Company </w:t>
            </w:r>
            <w:r w:rsidRPr="00CC0795">
              <w:rPr>
                <w:rFonts w:cstheme="minorHAnsi"/>
                <w:sz w:val="20"/>
                <w:szCs w:val="20"/>
              </w:rPr>
              <w:t>has adopted a policy of accepting payment as Bitcoin</w:t>
            </w:r>
            <w:r w:rsidR="00E12865" w:rsidRPr="00E12865">
              <w:rPr>
                <w:rFonts w:cstheme="minorHAnsi"/>
                <w:sz w:val="20"/>
                <w:szCs w:val="20"/>
              </w:rPr>
              <w:t>. The Company is pioneering the adoption of a Digital Asset Treasury Policy into its strategy and as the Company explores opportunities through organic growth and corporate acquisitions it will look to store its capital in a mix of cash and Digital Assets including Bitcoin.</w:t>
            </w:r>
          </w:p>
          <w:p w14:paraId="451C074D" w14:textId="5645FD53" w:rsidR="00E12865" w:rsidRPr="00D06BBF" w:rsidRDefault="00E12865" w:rsidP="00E12865">
            <w:pPr>
              <w:jc w:val="both"/>
              <w:textAlignment w:val="baseline"/>
              <w:rPr>
                <w:rFonts w:cstheme="minorHAnsi"/>
                <w:sz w:val="20"/>
                <w:szCs w:val="20"/>
              </w:rPr>
            </w:pPr>
          </w:p>
        </w:tc>
      </w:tr>
      <w:tr w:rsidR="00C320A1" w:rsidRPr="00D06BBF" w14:paraId="451C0750" w14:textId="77777777" w:rsidTr="7B8D649C">
        <w:tc>
          <w:tcPr>
            <w:tcW w:w="9016" w:type="dxa"/>
            <w:shd w:val="clear" w:color="auto" w:fill="D9D9D9" w:themeFill="background1" w:themeFillShade="D9"/>
          </w:tcPr>
          <w:p w14:paraId="451C074F" w14:textId="75485B28" w:rsidR="00C320A1" w:rsidRPr="00D06BBF" w:rsidRDefault="00C320A1" w:rsidP="00B43664">
            <w:pPr>
              <w:rPr>
                <w:rFonts w:cstheme="minorHAnsi"/>
                <w:b/>
                <w:sz w:val="20"/>
                <w:szCs w:val="20"/>
              </w:rPr>
            </w:pPr>
            <w:r w:rsidRPr="00D06BBF">
              <w:rPr>
                <w:rFonts w:cstheme="minorHAnsi"/>
                <w:b/>
                <w:sz w:val="20"/>
                <w:szCs w:val="20"/>
              </w:rPr>
              <w:t xml:space="preserve">NAME OF </w:t>
            </w:r>
            <w:r w:rsidR="00CB61CD">
              <w:rPr>
                <w:rFonts w:cstheme="minorHAnsi"/>
                <w:b/>
                <w:sz w:val="20"/>
                <w:szCs w:val="20"/>
              </w:rPr>
              <w:t>AQSE</w:t>
            </w:r>
            <w:r w:rsidRPr="00D06BBF">
              <w:rPr>
                <w:rFonts w:cstheme="minorHAnsi"/>
                <w:b/>
                <w:sz w:val="20"/>
                <w:szCs w:val="20"/>
              </w:rPr>
              <w:t xml:space="preserve"> CORPORATE ADVISER:</w:t>
            </w:r>
          </w:p>
        </w:tc>
      </w:tr>
      <w:tr w:rsidR="00C320A1" w:rsidRPr="00D06BBF" w14:paraId="451C0752" w14:textId="77777777" w:rsidTr="7B8D649C">
        <w:tc>
          <w:tcPr>
            <w:tcW w:w="9016" w:type="dxa"/>
          </w:tcPr>
          <w:p w14:paraId="536DD164" w14:textId="77777777" w:rsidR="00645F76" w:rsidRDefault="00645F76" w:rsidP="00206D53">
            <w:pPr>
              <w:rPr>
                <w:rFonts w:cstheme="minorHAnsi"/>
                <w:sz w:val="20"/>
                <w:szCs w:val="20"/>
              </w:rPr>
            </w:pPr>
          </w:p>
          <w:p w14:paraId="199C98BE" w14:textId="1EF807CB" w:rsidR="004F308E" w:rsidRDefault="004F308E" w:rsidP="00206D53">
            <w:pPr>
              <w:rPr>
                <w:rFonts w:cstheme="minorHAnsi"/>
                <w:sz w:val="20"/>
                <w:szCs w:val="20"/>
              </w:rPr>
            </w:pPr>
            <w:r>
              <w:rPr>
                <w:rFonts w:cstheme="minorHAnsi"/>
                <w:sz w:val="20"/>
                <w:szCs w:val="20"/>
              </w:rPr>
              <w:lastRenderedPageBreak/>
              <w:t>Peterhouse Capital Limited</w:t>
            </w:r>
          </w:p>
          <w:p w14:paraId="451C0751" w14:textId="0E2BD5D8" w:rsidR="004F308E" w:rsidRPr="00D06BBF" w:rsidRDefault="004F308E" w:rsidP="00206D53">
            <w:pPr>
              <w:rPr>
                <w:rFonts w:cstheme="minorHAnsi"/>
                <w:sz w:val="20"/>
                <w:szCs w:val="20"/>
              </w:rPr>
            </w:pPr>
          </w:p>
        </w:tc>
      </w:tr>
      <w:tr w:rsidR="00C320A1" w:rsidRPr="00D06BBF" w14:paraId="451C0754" w14:textId="77777777" w:rsidTr="7B8D649C">
        <w:tc>
          <w:tcPr>
            <w:tcW w:w="9016" w:type="dxa"/>
            <w:shd w:val="clear" w:color="auto" w:fill="D9D9D9" w:themeFill="background1" w:themeFillShade="D9"/>
          </w:tcPr>
          <w:p w14:paraId="0CBE0BE8" w14:textId="77777777" w:rsidR="00C320A1" w:rsidRDefault="00C320A1" w:rsidP="00B43664">
            <w:pPr>
              <w:rPr>
                <w:rFonts w:cstheme="minorHAnsi"/>
                <w:b/>
                <w:sz w:val="20"/>
                <w:szCs w:val="20"/>
              </w:rPr>
            </w:pPr>
            <w:r w:rsidRPr="00D06BBF">
              <w:rPr>
                <w:rFonts w:cstheme="minorHAnsi"/>
                <w:b/>
                <w:sz w:val="20"/>
                <w:szCs w:val="20"/>
              </w:rPr>
              <w:lastRenderedPageBreak/>
              <w:t>NUMBER, CLASS AND PAR VALUE OF SECURITIES TO BE ADMITTED:</w:t>
            </w:r>
          </w:p>
          <w:p w14:paraId="451C0753" w14:textId="77777777" w:rsidR="00EF214E" w:rsidRPr="00D06BBF" w:rsidRDefault="00EF214E" w:rsidP="00B43664">
            <w:pPr>
              <w:rPr>
                <w:rFonts w:cstheme="minorHAnsi"/>
                <w:b/>
                <w:sz w:val="20"/>
                <w:szCs w:val="20"/>
              </w:rPr>
            </w:pPr>
          </w:p>
        </w:tc>
      </w:tr>
      <w:tr w:rsidR="00C320A1" w:rsidRPr="00D06BBF" w14:paraId="451C0756" w14:textId="77777777" w:rsidTr="7B8D649C">
        <w:tc>
          <w:tcPr>
            <w:tcW w:w="9016" w:type="dxa"/>
          </w:tcPr>
          <w:p w14:paraId="09530696" w14:textId="77777777" w:rsidR="00645F76" w:rsidRDefault="00645F76" w:rsidP="00206D53">
            <w:pPr>
              <w:rPr>
                <w:rFonts w:cstheme="minorHAnsi"/>
                <w:sz w:val="20"/>
                <w:szCs w:val="20"/>
              </w:rPr>
            </w:pPr>
          </w:p>
          <w:p w14:paraId="488CBC06" w14:textId="416A7109" w:rsidR="004F308E" w:rsidRDefault="004F308E" w:rsidP="00206D53">
            <w:pPr>
              <w:rPr>
                <w:rFonts w:cstheme="minorHAnsi"/>
                <w:sz w:val="20"/>
                <w:szCs w:val="20"/>
              </w:rPr>
            </w:pPr>
            <w:r>
              <w:rPr>
                <w:rFonts w:cstheme="minorHAnsi"/>
                <w:sz w:val="20"/>
                <w:szCs w:val="20"/>
              </w:rPr>
              <w:t xml:space="preserve">ordinary shares </w:t>
            </w:r>
            <w:r w:rsidR="00D538AF" w:rsidRPr="00D538AF">
              <w:rPr>
                <w:rFonts w:cstheme="minorHAnsi"/>
                <w:sz w:val="20"/>
                <w:szCs w:val="20"/>
              </w:rPr>
              <w:t>of £0.001</w:t>
            </w:r>
            <w:r w:rsidR="00EC1DDF">
              <w:rPr>
                <w:rFonts w:cstheme="minorHAnsi"/>
                <w:sz w:val="20"/>
                <w:szCs w:val="20"/>
              </w:rPr>
              <w:t xml:space="preserve">, number of shares TBC </w:t>
            </w:r>
          </w:p>
          <w:p w14:paraId="451C0755" w14:textId="13963605" w:rsidR="004F308E" w:rsidRPr="00D06BBF" w:rsidRDefault="004F308E" w:rsidP="00206D53">
            <w:pPr>
              <w:rPr>
                <w:rFonts w:cstheme="minorHAnsi"/>
                <w:sz w:val="20"/>
                <w:szCs w:val="20"/>
              </w:rPr>
            </w:pPr>
          </w:p>
        </w:tc>
      </w:tr>
      <w:tr w:rsidR="00C320A1" w:rsidRPr="00D06BBF" w14:paraId="451C0758" w14:textId="77777777" w:rsidTr="7B8D649C">
        <w:tc>
          <w:tcPr>
            <w:tcW w:w="9016" w:type="dxa"/>
            <w:shd w:val="clear" w:color="auto" w:fill="D9D9D9" w:themeFill="background1" w:themeFillShade="D9"/>
          </w:tcPr>
          <w:p w14:paraId="451C0757" w14:textId="77777777" w:rsidR="00C320A1" w:rsidRPr="00D06BBF" w:rsidRDefault="00C320A1" w:rsidP="00B43664">
            <w:pPr>
              <w:rPr>
                <w:rFonts w:cstheme="minorHAnsi"/>
                <w:b/>
                <w:sz w:val="20"/>
                <w:szCs w:val="20"/>
              </w:rPr>
            </w:pPr>
            <w:r w:rsidRPr="00D06BBF">
              <w:rPr>
                <w:rFonts w:cstheme="minorHAnsi"/>
                <w:b/>
                <w:sz w:val="20"/>
                <w:szCs w:val="20"/>
              </w:rPr>
              <w:t>SECURITIES IN PUBLIC HANDS AS A PERCENTAGE OF THE TOTAL NUMBER OF SECURITIES IN ISSUE (excluding securities held in treasury)</w:t>
            </w:r>
            <w:r w:rsidR="00CC0E0A" w:rsidRPr="00D06BBF">
              <w:rPr>
                <w:rFonts w:cstheme="minorHAnsi"/>
                <w:b/>
                <w:sz w:val="20"/>
                <w:szCs w:val="20"/>
              </w:rPr>
              <w:t>:</w:t>
            </w:r>
          </w:p>
        </w:tc>
      </w:tr>
      <w:tr w:rsidR="00C320A1" w:rsidRPr="00D06BBF" w14:paraId="451C075A" w14:textId="77777777" w:rsidTr="7B8D649C">
        <w:tc>
          <w:tcPr>
            <w:tcW w:w="9016" w:type="dxa"/>
          </w:tcPr>
          <w:p w14:paraId="49EA34C3" w14:textId="77777777" w:rsidR="005C335E" w:rsidRDefault="005C335E" w:rsidP="00206D53">
            <w:pPr>
              <w:rPr>
                <w:rFonts w:cstheme="minorHAnsi"/>
                <w:sz w:val="20"/>
                <w:szCs w:val="20"/>
              </w:rPr>
            </w:pPr>
          </w:p>
          <w:p w14:paraId="57952025" w14:textId="2B7F3578" w:rsidR="005C335E" w:rsidRDefault="00EC1DDF" w:rsidP="00206D53">
            <w:pPr>
              <w:rPr>
                <w:rFonts w:cstheme="minorHAnsi"/>
                <w:sz w:val="20"/>
                <w:szCs w:val="20"/>
              </w:rPr>
            </w:pPr>
            <w:r>
              <w:rPr>
                <w:rFonts w:cstheme="minorHAnsi"/>
                <w:sz w:val="20"/>
                <w:szCs w:val="20"/>
              </w:rPr>
              <w:t>TBC %</w:t>
            </w:r>
          </w:p>
          <w:p w14:paraId="451C0759" w14:textId="59C5575D" w:rsidR="004F308E" w:rsidRPr="00D06BBF" w:rsidRDefault="004F308E" w:rsidP="00206D53">
            <w:pPr>
              <w:rPr>
                <w:rFonts w:cstheme="minorHAnsi"/>
                <w:sz w:val="20"/>
                <w:szCs w:val="20"/>
              </w:rPr>
            </w:pPr>
          </w:p>
        </w:tc>
      </w:tr>
      <w:tr w:rsidR="00C320A1" w:rsidRPr="00D06BBF" w14:paraId="451C075C" w14:textId="77777777" w:rsidTr="7B8D649C">
        <w:tc>
          <w:tcPr>
            <w:tcW w:w="9016" w:type="dxa"/>
            <w:shd w:val="clear" w:color="auto" w:fill="D9D9D9" w:themeFill="background1" w:themeFillShade="D9"/>
          </w:tcPr>
          <w:p w14:paraId="451C075B" w14:textId="77777777" w:rsidR="00C320A1" w:rsidRPr="00D06BBF" w:rsidRDefault="00C320A1" w:rsidP="00B43664">
            <w:pPr>
              <w:rPr>
                <w:rFonts w:cstheme="minorHAnsi"/>
                <w:b/>
                <w:sz w:val="20"/>
                <w:szCs w:val="20"/>
              </w:rPr>
            </w:pPr>
            <w:r w:rsidRPr="00D06BBF">
              <w:rPr>
                <w:rFonts w:cstheme="minorHAnsi"/>
                <w:b/>
                <w:sz w:val="20"/>
                <w:szCs w:val="20"/>
              </w:rPr>
              <w:t xml:space="preserve">SHAREHOLDERS </w:t>
            </w:r>
            <w:r w:rsidR="00D06BBF">
              <w:rPr>
                <w:rFonts w:cstheme="minorHAnsi"/>
                <w:b/>
                <w:sz w:val="20"/>
                <w:szCs w:val="20"/>
              </w:rPr>
              <w:t>HOLDING</w:t>
            </w:r>
            <w:r w:rsidRPr="00D06BBF">
              <w:rPr>
                <w:rFonts w:cstheme="minorHAnsi"/>
                <w:b/>
                <w:sz w:val="20"/>
                <w:szCs w:val="20"/>
              </w:rPr>
              <w:t xml:space="preserve"> MORE THAN FIVE PER</w:t>
            </w:r>
            <w:r w:rsidR="00D06BBF">
              <w:rPr>
                <w:rFonts w:cstheme="minorHAnsi"/>
                <w:b/>
                <w:sz w:val="20"/>
                <w:szCs w:val="20"/>
              </w:rPr>
              <w:t xml:space="preserve"> </w:t>
            </w:r>
            <w:r w:rsidRPr="00D06BBF">
              <w:rPr>
                <w:rFonts w:cstheme="minorHAnsi"/>
                <w:b/>
                <w:sz w:val="20"/>
                <w:szCs w:val="20"/>
              </w:rPr>
              <w:t>CENT OF THE APPLICANT’S SHARE CAPITAL OR VOTING RIGHTS PRE</w:t>
            </w:r>
            <w:r w:rsidR="008874C9" w:rsidRPr="00D06BBF">
              <w:rPr>
                <w:rFonts w:cstheme="minorHAnsi"/>
                <w:b/>
                <w:sz w:val="20"/>
                <w:szCs w:val="20"/>
              </w:rPr>
              <w:t>-</w:t>
            </w:r>
            <w:r w:rsidRPr="00D06BBF">
              <w:rPr>
                <w:rFonts w:cstheme="minorHAnsi"/>
                <w:b/>
                <w:sz w:val="20"/>
                <w:szCs w:val="20"/>
              </w:rPr>
              <w:t xml:space="preserve"> AND POST-ADMISSION</w:t>
            </w:r>
            <w:r w:rsidR="00CC0E0A" w:rsidRPr="00D06BBF">
              <w:rPr>
                <w:rFonts w:cstheme="minorHAnsi"/>
                <w:b/>
                <w:sz w:val="20"/>
                <w:szCs w:val="20"/>
              </w:rPr>
              <w:t>:</w:t>
            </w:r>
          </w:p>
        </w:tc>
      </w:tr>
      <w:tr w:rsidR="00C320A1" w:rsidRPr="00D06BBF" w14:paraId="451C075E" w14:textId="77777777" w:rsidTr="7B8D649C">
        <w:tc>
          <w:tcPr>
            <w:tcW w:w="9016" w:type="dxa"/>
          </w:tcPr>
          <w:p w14:paraId="6E5F981F" w14:textId="77777777" w:rsidR="00C320A1" w:rsidRDefault="00C320A1" w:rsidP="00B43664">
            <w:pPr>
              <w:rPr>
                <w:rFonts w:cstheme="minorHAnsi"/>
                <w:sz w:val="20"/>
                <w:szCs w:val="20"/>
              </w:rPr>
            </w:pP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3029"/>
              <w:gridCol w:w="3579"/>
              <w:gridCol w:w="1295"/>
            </w:tblGrid>
            <w:tr w:rsidR="006D6FDA" w:rsidRPr="008B1D55" w14:paraId="0131DF58" w14:textId="77777777" w:rsidTr="006D6FDA">
              <w:trPr>
                <w:trHeight w:val="20"/>
              </w:trPr>
              <w:tc>
                <w:tcPr>
                  <w:tcW w:w="3029" w:type="dxa"/>
                </w:tcPr>
                <w:p w14:paraId="1C78B73E" w14:textId="1C256AD9" w:rsidR="006D6FDA" w:rsidRPr="008B1D55" w:rsidRDefault="00901A48" w:rsidP="006D6FDA">
                  <w:pPr>
                    <w:pStyle w:val="TableParagraph"/>
                    <w:spacing w:before="72"/>
                    <w:ind w:left="55"/>
                    <w:rPr>
                      <w:rFonts w:eastAsia="Times New Roman" w:cstheme="minorHAnsi"/>
                      <w:b/>
                      <w:sz w:val="18"/>
                      <w:szCs w:val="18"/>
                    </w:rPr>
                  </w:pPr>
                  <w:r>
                    <w:rPr>
                      <w:rFonts w:eastAsia="Times New Roman" w:cstheme="minorHAnsi"/>
                      <w:b/>
                      <w:sz w:val="18"/>
                      <w:szCs w:val="18"/>
                    </w:rPr>
                    <w:t>Name</w:t>
                  </w:r>
                </w:p>
              </w:tc>
              <w:tc>
                <w:tcPr>
                  <w:tcW w:w="3579" w:type="dxa"/>
                </w:tcPr>
                <w:p w14:paraId="5E1A7540" w14:textId="4C72A5FD" w:rsidR="006D6FDA" w:rsidRPr="008B1D55" w:rsidRDefault="00FF1DBC" w:rsidP="00FF1DBC">
                  <w:pPr>
                    <w:pStyle w:val="TableParagraph"/>
                    <w:spacing w:before="72" w:line="255" w:lineRule="auto"/>
                    <w:ind w:right="218"/>
                    <w:jc w:val="center"/>
                    <w:rPr>
                      <w:rFonts w:eastAsia="Times New Roman" w:cstheme="minorHAnsi"/>
                      <w:b/>
                      <w:sz w:val="18"/>
                      <w:szCs w:val="18"/>
                    </w:rPr>
                  </w:pPr>
                  <w:r>
                    <w:rPr>
                      <w:rFonts w:eastAsia="Times New Roman" w:cstheme="minorHAnsi"/>
                      <w:b/>
                      <w:sz w:val="18"/>
                      <w:szCs w:val="18"/>
                    </w:rPr>
                    <w:t>Pre</w:t>
                  </w:r>
                </w:p>
              </w:tc>
              <w:tc>
                <w:tcPr>
                  <w:tcW w:w="1295" w:type="dxa"/>
                </w:tcPr>
                <w:p w14:paraId="38110D24" w14:textId="3AF0D8EF" w:rsidR="006D6FDA" w:rsidRPr="008B1D55" w:rsidRDefault="00901A48" w:rsidP="00FF1DBC">
                  <w:pPr>
                    <w:pStyle w:val="TableParagraph"/>
                    <w:spacing w:before="72" w:line="255" w:lineRule="auto"/>
                    <w:ind w:right="218"/>
                    <w:jc w:val="center"/>
                    <w:rPr>
                      <w:rFonts w:eastAsia="Times New Roman" w:cstheme="minorHAnsi"/>
                      <w:b/>
                      <w:sz w:val="18"/>
                      <w:szCs w:val="18"/>
                    </w:rPr>
                  </w:pPr>
                  <w:r>
                    <w:rPr>
                      <w:rFonts w:eastAsia="Times New Roman" w:cstheme="minorHAnsi"/>
                      <w:b/>
                      <w:sz w:val="18"/>
                      <w:szCs w:val="18"/>
                    </w:rPr>
                    <w:t>Post</w:t>
                  </w:r>
                </w:p>
              </w:tc>
            </w:tr>
            <w:tr w:rsidR="006D6FDA" w:rsidRPr="008B1D55" w14:paraId="3368DD8E" w14:textId="77777777" w:rsidTr="006D6FDA">
              <w:trPr>
                <w:trHeight w:val="20"/>
              </w:trPr>
              <w:tc>
                <w:tcPr>
                  <w:tcW w:w="3029" w:type="dxa"/>
                </w:tcPr>
                <w:p w14:paraId="7151EE76" w14:textId="6315BD34" w:rsidR="006D6FDA" w:rsidRPr="008B1D55" w:rsidRDefault="00A91CA4" w:rsidP="00901A48">
                  <w:pPr>
                    <w:pStyle w:val="TableParagraph"/>
                    <w:spacing w:before="130"/>
                    <w:rPr>
                      <w:rFonts w:eastAsia="Times New Roman" w:cstheme="minorHAnsi"/>
                      <w:sz w:val="18"/>
                      <w:szCs w:val="18"/>
                    </w:rPr>
                  </w:pPr>
                  <w:r>
                    <w:rPr>
                      <w:rFonts w:eastAsia="Times New Roman" w:cstheme="minorHAnsi"/>
                      <w:sz w:val="18"/>
                      <w:szCs w:val="18"/>
                    </w:rPr>
                    <w:t xml:space="preserve"> </w:t>
                  </w:r>
                  <w:r w:rsidR="001D7036">
                    <w:rPr>
                      <w:rFonts w:eastAsia="Times New Roman" w:cstheme="minorHAnsi"/>
                      <w:sz w:val="18"/>
                      <w:szCs w:val="18"/>
                    </w:rPr>
                    <w:t>Andrew Webley</w:t>
                  </w:r>
                  <w:r w:rsidR="00025176">
                    <w:rPr>
                      <w:rFonts w:eastAsia="Times New Roman" w:cstheme="minorHAnsi"/>
                      <w:sz w:val="18"/>
                      <w:szCs w:val="18"/>
                    </w:rPr>
                    <w:t>*</w:t>
                  </w:r>
                </w:p>
              </w:tc>
              <w:tc>
                <w:tcPr>
                  <w:tcW w:w="3579" w:type="dxa"/>
                  <w:shd w:val="clear" w:color="auto" w:fill="auto"/>
                </w:tcPr>
                <w:p w14:paraId="6F36073F" w14:textId="536FB386" w:rsidR="006D6FDA" w:rsidRPr="00FF1DBC" w:rsidRDefault="00FF1DBC" w:rsidP="00FF1DBC">
                  <w:pPr>
                    <w:pStyle w:val="TableParagraph"/>
                    <w:spacing w:before="72" w:line="255" w:lineRule="auto"/>
                    <w:ind w:right="218"/>
                    <w:jc w:val="center"/>
                    <w:rPr>
                      <w:rFonts w:eastAsia="Times New Roman" w:cstheme="minorHAnsi"/>
                      <w:bCs/>
                      <w:sz w:val="18"/>
                      <w:szCs w:val="18"/>
                    </w:rPr>
                  </w:pPr>
                  <w:r w:rsidRPr="00FF1DBC">
                    <w:rPr>
                      <w:rFonts w:eastAsia="Times New Roman" w:cstheme="minorHAnsi"/>
                      <w:bCs/>
                      <w:sz w:val="18"/>
                      <w:szCs w:val="18"/>
                    </w:rPr>
                    <w:t>n/a</w:t>
                  </w:r>
                </w:p>
              </w:tc>
              <w:tc>
                <w:tcPr>
                  <w:tcW w:w="1295" w:type="dxa"/>
                  <w:shd w:val="clear" w:color="auto" w:fill="auto"/>
                </w:tcPr>
                <w:p w14:paraId="06C0F44D" w14:textId="596DAE72" w:rsidR="006D6FDA" w:rsidRPr="00FF1DBC" w:rsidRDefault="00C6547F" w:rsidP="00FF1DBC">
                  <w:pPr>
                    <w:pStyle w:val="TableParagraph"/>
                    <w:spacing w:before="72" w:line="255" w:lineRule="auto"/>
                    <w:ind w:right="218"/>
                    <w:jc w:val="center"/>
                    <w:rPr>
                      <w:rFonts w:eastAsia="Times New Roman" w:cstheme="minorHAnsi"/>
                      <w:bCs/>
                      <w:sz w:val="18"/>
                      <w:szCs w:val="18"/>
                    </w:rPr>
                  </w:pPr>
                  <w:r>
                    <w:rPr>
                      <w:rFonts w:eastAsia="Times New Roman" w:cstheme="minorHAnsi"/>
                      <w:bCs/>
                      <w:sz w:val="18"/>
                      <w:szCs w:val="18"/>
                    </w:rPr>
                    <w:t>TBC</w:t>
                  </w:r>
                </w:p>
              </w:tc>
            </w:tr>
            <w:tr w:rsidR="006D6FDA" w:rsidRPr="008B1D55" w14:paraId="22DDE366" w14:textId="77777777" w:rsidTr="006D6FDA">
              <w:trPr>
                <w:trHeight w:val="20"/>
              </w:trPr>
              <w:tc>
                <w:tcPr>
                  <w:tcW w:w="3029" w:type="dxa"/>
                </w:tcPr>
                <w:p w14:paraId="5908512C" w14:textId="4C35B00D" w:rsidR="006D6FDA" w:rsidRPr="008B1D55" w:rsidRDefault="00901A48" w:rsidP="006D6FDA">
                  <w:pPr>
                    <w:pStyle w:val="TableParagraph"/>
                    <w:spacing w:before="130"/>
                    <w:ind w:left="55"/>
                    <w:rPr>
                      <w:rFonts w:cstheme="minorHAnsi"/>
                      <w:sz w:val="18"/>
                    </w:rPr>
                  </w:pPr>
                  <w:r>
                    <w:rPr>
                      <w:rFonts w:cstheme="minorHAnsi"/>
                      <w:sz w:val="18"/>
                    </w:rPr>
                    <w:t>210</w:t>
                  </w:r>
                  <w:r w:rsidR="00B1039F">
                    <w:rPr>
                      <w:rFonts w:cstheme="minorHAnsi"/>
                      <w:sz w:val="18"/>
                    </w:rPr>
                    <w:t>k</w:t>
                  </w:r>
                  <w:r>
                    <w:rPr>
                      <w:rFonts w:cstheme="minorHAnsi"/>
                      <w:sz w:val="18"/>
                    </w:rPr>
                    <w:t xml:space="preserve"> Capital LP</w:t>
                  </w:r>
                </w:p>
              </w:tc>
              <w:tc>
                <w:tcPr>
                  <w:tcW w:w="3579" w:type="dxa"/>
                  <w:shd w:val="clear" w:color="auto" w:fill="auto"/>
                </w:tcPr>
                <w:p w14:paraId="2F1EF4DB" w14:textId="1DE607E7" w:rsidR="006D6FDA" w:rsidRPr="00FF1DBC" w:rsidRDefault="00FF1DBC" w:rsidP="00FF1DBC">
                  <w:pPr>
                    <w:pStyle w:val="TableParagraph"/>
                    <w:spacing w:before="72" w:line="255" w:lineRule="auto"/>
                    <w:ind w:right="218"/>
                    <w:jc w:val="center"/>
                    <w:rPr>
                      <w:rFonts w:eastAsia="Times New Roman" w:cstheme="minorHAnsi"/>
                      <w:bCs/>
                      <w:sz w:val="18"/>
                      <w:szCs w:val="18"/>
                    </w:rPr>
                  </w:pPr>
                  <w:r w:rsidRPr="00FF1DBC">
                    <w:rPr>
                      <w:rFonts w:eastAsia="Times New Roman" w:cstheme="minorHAnsi"/>
                      <w:bCs/>
                      <w:sz w:val="18"/>
                      <w:szCs w:val="18"/>
                    </w:rPr>
                    <w:t>n/a</w:t>
                  </w:r>
                </w:p>
              </w:tc>
              <w:tc>
                <w:tcPr>
                  <w:tcW w:w="1295" w:type="dxa"/>
                  <w:shd w:val="clear" w:color="auto" w:fill="auto"/>
                </w:tcPr>
                <w:p w14:paraId="51A4304D" w14:textId="027837CC" w:rsidR="006D6FDA" w:rsidRPr="00FF1DBC" w:rsidRDefault="00795F03" w:rsidP="00FF1DBC">
                  <w:pPr>
                    <w:pStyle w:val="TableParagraph"/>
                    <w:spacing w:before="72" w:line="255" w:lineRule="auto"/>
                    <w:ind w:right="218"/>
                    <w:jc w:val="center"/>
                    <w:rPr>
                      <w:rFonts w:eastAsia="Times New Roman" w:cstheme="minorHAnsi"/>
                      <w:bCs/>
                      <w:sz w:val="18"/>
                      <w:szCs w:val="18"/>
                    </w:rPr>
                  </w:pPr>
                  <w:r>
                    <w:rPr>
                      <w:rFonts w:eastAsia="Times New Roman" w:cstheme="minorHAnsi"/>
                      <w:bCs/>
                      <w:sz w:val="18"/>
                      <w:szCs w:val="18"/>
                    </w:rPr>
                    <w:t>TBC</w:t>
                  </w:r>
                </w:p>
              </w:tc>
            </w:tr>
            <w:tr w:rsidR="006D6FDA" w:rsidRPr="008B1D55" w14:paraId="1C55E844" w14:textId="77777777" w:rsidTr="006D6FDA">
              <w:trPr>
                <w:trHeight w:val="20"/>
              </w:trPr>
              <w:tc>
                <w:tcPr>
                  <w:tcW w:w="3029" w:type="dxa"/>
                  <w:shd w:val="clear" w:color="auto" w:fill="auto"/>
                </w:tcPr>
                <w:p w14:paraId="35698956" w14:textId="25E25EEE" w:rsidR="006D6FDA" w:rsidRPr="008B1D55" w:rsidRDefault="006D6FDA" w:rsidP="006D6FDA">
                  <w:pPr>
                    <w:pStyle w:val="TableParagraph"/>
                    <w:spacing w:before="130"/>
                    <w:ind w:left="55"/>
                    <w:rPr>
                      <w:rFonts w:cstheme="minorHAnsi"/>
                      <w:sz w:val="18"/>
                    </w:rPr>
                  </w:pPr>
                </w:p>
              </w:tc>
              <w:tc>
                <w:tcPr>
                  <w:tcW w:w="3579" w:type="dxa"/>
                  <w:shd w:val="clear" w:color="auto" w:fill="auto"/>
                </w:tcPr>
                <w:p w14:paraId="2CC67472" w14:textId="12B787D3" w:rsidR="006D6FDA" w:rsidRPr="006D6FDA" w:rsidRDefault="006D6FDA" w:rsidP="00FF1DBC">
                  <w:pPr>
                    <w:pStyle w:val="TableParagraph"/>
                    <w:spacing w:before="130"/>
                    <w:ind w:left="1468"/>
                    <w:jc w:val="center"/>
                    <w:rPr>
                      <w:rFonts w:cstheme="minorHAnsi"/>
                      <w:sz w:val="18"/>
                    </w:rPr>
                  </w:pPr>
                </w:p>
              </w:tc>
              <w:tc>
                <w:tcPr>
                  <w:tcW w:w="1295" w:type="dxa"/>
                  <w:shd w:val="clear" w:color="auto" w:fill="auto"/>
                </w:tcPr>
                <w:p w14:paraId="546E08D6" w14:textId="6DEF5C5F" w:rsidR="006D6FDA" w:rsidRPr="006D6FDA" w:rsidRDefault="006D6FDA" w:rsidP="00FF1DBC">
                  <w:pPr>
                    <w:pStyle w:val="TableParagraph"/>
                    <w:spacing w:before="130"/>
                    <w:ind w:left="55"/>
                    <w:jc w:val="center"/>
                    <w:rPr>
                      <w:rFonts w:cstheme="minorHAnsi"/>
                      <w:sz w:val="18"/>
                    </w:rPr>
                  </w:pPr>
                </w:p>
              </w:tc>
            </w:tr>
          </w:tbl>
          <w:p w14:paraId="191655D3" w14:textId="171AE995" w:rsidR="00C320A1" w:rsidRDefault="00025176" w:rsidP="00B43664">
            <w:pPr>
              <w:rPr>
                <w:rFonts w:cstheme="minorHAnsi"/>
                <w:sz w:val="20"/>
                <w:szCs w:val="20"/>
              </w:rPr>
            </w:pPr>
            <w:r>
              <w:rPr>
                <w:rFonts w:cstheme="minorHAnsi"/>
                <w:sz w:val="20"/>
                <w:szCs w:val="20"/>
              </w:rPr>
              <w:t xml:space="preserve">* </w:t>
            </w:r>
            <w:r w:rsidR="00951F27">
              <w:rPr>
                <w:rFonts w:cstheme="minorHAnsi"/>
                <w:sz w:val="20"/>
                <w:szCs w:val="20"/>
              </w:rPr>
              <w:t>jointly</w:t>
            </w:r>
            <w:r>
              <w:rPr>
                <w:rFonts w:cstheme="minorHAnsi"/>
                <w:sz w:val="20"/>
                <w:szCs w:val="20"/>
              </w:rPr>
              <w:t xml:space="preserve"> owned </w:t>
            </w:r>
            <w:r w:rsidR="00951F27">
              <w:rPr>
                <w:rFonts w:cstheme="minorHAnsi"/>
                <w:sz w:val="20"/>
                <w:szCs w:val="20"/>
              </w:rPr>
              <w:t>with</w:t>
            </w:r>
            <w:r>
              <w:rPr>
                <w:rFonts w:cstheme="minorHAnsi"/>
                <w:sz w:val="20"/>
                <w:szCs w:val="20"/>
              </w:rPr>
              <w:t xml:space="preserve"> Joanna</w:t>
            </w:r>
            <w:r w:rsidR="00A2685B">
              <w:rPr>
                <w:rFonts w:cstheme="minorHAnsi"/>
                <w:sz w:val="20"/>
                <w:szCs w:val="20"/>
              </w:rPr>
              <w:t xml:space="preserve"> Webley, wife of Andrew Webley</w:t>
            </w:r>
          </w:p>
          <w:p w14:paraId="451C075D" w14:textId="6C23162B" w:rsidR="00645F76" w:rsidRPr="00D06BBF" w:rsidRDefault="00645F76" w:rsidP="00B43664">
            <w:pPr>
              <w:rPr>
                <w:rFonts w:cstheme="minorHAnsi"/>
                <w:sz w:val="20"/>
                <w:szCs w:val="20"/>
              </w:rPr>
            </w:pPr>
          </w:p>
        </w:tc>
      </w:tr>
      <w:tr w:rsidR="00C320A1" w:rsidRPr="00D06BBF" w14:paraId="451C0760" w14:textId="77777777" w:rsidTr="7B8D649C">
        <w:tc>
          <w:tcPr>
            <w:tcW w:w="9016" w:type="dxa"/>
            <w:shd w:val="clear" w:color="auto" w:fill="D9D9D9" w:themeFill="background1" w:themeFillShade="D9"/>
          </w:tcPr>
          <w:p w14:paraId="451C075F" w14:textId="6334CE6B" w:rsidR="00C320A1" w:rsidRPr="00D06BBF" w:rsidRDefault="00C320A1" w:rsidP="00B43664">
            <w:pPr>
              <w:rPr>
                <w:rFonts w:cstheme="minorHAnsi"/>
                <w:b/>
                <w:sz w:val="20"/>
                <w:szCs w:val="20"/>
              </w:rPr>
            </w:pPr>
            <w:r w:rsidRPr="00D06BBF">
              <w:rPr>
                <w:rFonts w:cstheme="minorHAnsi"/>
                <w:b/>
                <w:sz w:val="20"/>
                <w:szCs w:val="20"/>
              </w:rPr>
              <w:t>TIMETABLE FOR ANY OFFER OF TRANSFERABLE SECURITIES TO THE PUBLIC</w:t>
            </w:r>
            <w:r w:rsidR="00CC0E0A" w:rsidRPr="00D06BBF">
              <w:rPr>
                <w:rFonts w:cstheme="minorHAnsi"/>
                <w:b/>
                <w:sz w:val="20"/>
                <w:szCs w:val="20"/>
              </w:rPr>
              <w:t>:</w:t>
            </w:r>
          </w:p>
        </w:tc>
      </w:tr>
      <w:tr w:rsidR="00C320A1" w:rsidRPr="00D06BBF" w14:paraId="451C0762" w14:textId="77777777" w:rsidTr="7B8D649C">
        <w:tc>
          <w:tcPr>
            <w:tcW w:w="9016" w:type="dxa"/>
          </w:tcPr>
          <w:p w14:paraId="4E8BC035" w14:textId="77777777" w:rsidR="007E030D" w:rsidRDefault="007E030D" w:rsidP="00206D53">
            <w:pPr>
              <w:rPr>
                <w:rFonts w:cstheme="minorHAnsi"/>
                <w:sz w:val="20"/>
                <w:szCs w:val="20"/>
              </w:rPr>
            </w:pPr>
          </w:p>
          <w:p w14:paraId="23C080C9" w14:textId="06989AFC" w:rsidR="00901A48" w:rsidRDefault="00D07A2C" w:rsidP="00206D53">
            <w:pPr>
              <w:rPr>
                <w:rFonts w:cstheme="minorHAnsi"/>
                <w:sz w:val="20"/>
                <w:szCs w:val="20"/>
              </w:rPr>
            </w:pPr>
            <w:r w:rsidRPr="00D07A2C">
              <w:rPr>
                <w:rFonts w:cstheme="minorHAnsi"/>
                <w:sz w:val="20"/>
                <w:szCs w:val="20"/>
              </w:rPr>
              <w:t xml:space="preserve">Retail offer via the </w:t>
            </w:r>
            <w:proofErr w:type="spellStart"/>
            <w:r w:rsidRPr="00D07A2C">
              <w:rPr>
                <w:rFonts w:cstheme="minorHAnsi"/>
                <w:sz w:val="20"/>
                <w:szCs w:val="20"/>
              </w:rPr>
              <w:t>Winterflood</w:t>
            </w:r>
            <w:proofErr w:type="spellEnd"/>
            <w:r w:rsidRPr="00D07A2C">
              <w:rPr>
                <w:rFonts w:cstheme="minorHAnsi"/>
                <w:sz w:val="20"/>
                <w:szCs w:val="20"/>
              </w:rPr>
              <w:t xml:space="preserve"> Retail Access Platform. This is open until </w:t>
            </w:r>
            <w:r w:rsidR="006C3600">
              <w:rPr>
                <w:rFonts w:cstheme="minorHAnsi"/>
                <w:sz w:val="20"/>
                <w:szCs w:val="20"/>
              </w:rPr>
              <w:t>5pm</w:t>
            </w:r>
            <w:r w:rsidR="00A954AB">
              <w:rPr>
                <w:rFonts w:cstheme="minorHAnsi"/>
                <w:sz w:val="20"/>
                <w:szCs w:val="20"/>
              </w:rPr>
              <w:t xml:space="preserve">, </w:t>
            </w:r>
            <w:r>
              <w:rPr>
                <w:rFonts w:cstheme="minorHAnsi"/>
                <w:sz w:val="20"/>
                <w:szCs w:val="20"/>
              </w:rPr>
              <w:t>17</w:t>
            </w:r>
            <w:r w:rsidRPr="00D07A2C">
              <w:rPr>
                <w:rFonts w:cstheme="minorHAnsi"/>
                <w:sz w:val="20"/>
                <w:szCs w:val="20"/>
              </w:rPr>
              <w:t xml:space="preserve"> </w:t>
            </w:r>
            <w:r>
              <w:rPr>
                <w:rFonts w:cstheme="minorHAnsi"/>
                <w:sz w:val="20"/>
                <w:szCs w:val="20"/>
              </w:rPr>
              <w:t>April</w:t>
            </w:r>
            <w:r w:rsidRPr="00D07A2C">
              <w:rPr>
                <w:rFonts w:cstheme="minorHAnsi"/>
                <w:sz w:val="20"/>
                <w:szCs w:val="20"/>
              </w:rPr>
              <w:t xml:space="preserve"> 202</w:t>
            </w:r>
            <w:r>
              <w:rPr>
                <w:rFonts w:cstheme="minorHAnsi"/>
                <w:sz w:val="20"/>
                <w:szCs w:val="20"/>
              </w:rPr>
              <w:t>5</w:t>
            </w:r>
            <w:r w:rsidR="00A954AB">
              <w:rPr>
                <w:rFonts w:cstheme="minorHAnsi"/>
                <w:sz w:val="20"/>
                <w:szCs w:val="20"/>
              </w:rPr>
              <w:t>.</w:t>
            </w:r>
          </w:p>
          <w:p w14:paraId="451C0761" w14:textId="327C5F0C" w:rsidR="00901A48" w:rsidRPr="00D06BBF" w:rsidRDefault="00901A48" w:rsidP="00206D53">
            <w:pPr>
              <w:rPr>
                <w:rFonts w:cstheme="minorHAnsi"/>
                <w:sz w:val="20"/>
                <w:szCs w:val="20"/>
              </w:rPr>
            </w:pPr>
          </w:p>
        </w:tc>
      </w:tr>
      <w:tr w:rsidR="00CC0E0A" w:rsidRPr="00D06BBF" w14:paraId="451C0764" w14:textId="77777777" w:rsidTr="7B8D649C">
        <w:tc>
          <w:tcPr>
            <w:tcW w:w="9016" w:type="dxa"/>
            <w:shd w:val="clear" w:color="auto" w:fill="D9D9D9" w:themeFill="background1" w:themeFillShade="D9"/>
          </w:tcPr>
          <w:p w14:paraId="451C0763" w14:textId="77777777" w:rsidR="00CC0E0A" w:rsidRPr="00D614AC" w:rsidRDefault="00CC0E0A" w:rsidP="00B43664">
            <w:pPr>
              <w:rPr>
                <w:rFonts w:cstheme="minorHAnsi"/>
                <w:b/>
                <w:sz w:val="20"/>
                <w:szCs w:val="20"/>
                <w:lang w:val="en-US"/>
              </w:rPr>
            </w:pPr>
            <w:r w:rsidRPr="00D06BBF">
              <w:rPr>
                <w:rFonts w:cstheme="minorHAnsi"/>
                <w:b/>
                <w:sz w:val="20"/>
                <w:szCs w:val="20"/>
              </w:rPr>
              <w:t xml:space="preserve">THE </w:t>
            </w:r>
            <w:r w:rsidR="00D06BBF" w:rsidRPr="00D06BBF">
              <w:rPr>
                <w:rFonts w:cstheme="minorHAnsi"/>
                <w:b/>
                <w:sz w:val="20"/>
                <w:szCs w:val="20"/>
              </w:rPr>
              <w:t>EXPECTED</w:t>
            </w:r>
            <w:r w:rsidRPr="00D06BBF">
              <w:rPr>
                <w:rFonts w:cstheme="minorHAnsi"/>
                <w:b/>
                <w:sz w:val="20"/>
                <w:szCs w:val="20"/>
              </w:rPr>
              <w:t xml:space="preserve"> ADMISSION DATE:</w:t>
            </w:r>
          </w:p>
        </w:tc>
      </w:tr>
      <w:tr w:rsidR="00CC0E0A" w:rsidRPr="00D06BBF" w14:paraId="451C0766" w14:textId="77777777" w:rsidTr="7B8D649C">
        <w:tc>
          <w:tcPr>
            <w:tcW w:w="9016" w:type="dxa"/>
          </w:tcPr>
          <w:p w14:paraId="1FDFF3F8" w14:textId="77777777" w:rsidR="00D545C3" w:rsidRDefault="00D545C3" w:rsidP="00B43664">
            <w:pPr>
              <w:rPr>
                <w:rFonts w:cstheme="minorHAnsi"/>
                <w:sz w:val="20"/>
                <w:szCs w:val="20"/>
              </w:rPr>
            </w:pPr>
          </w:p>
          <w:p w14:paraId="435559AB" w14:textId="3EA7B765" w:rsidR="00901A48" w:rsidRDefault="00901A48" w:rsidP="32997EB5">
            <w:pPr>
              <w:rPr>
                <w:sz w:val="20"/>
                <w:szCs w:val="20"/>
              </w:rPr>
            </w:pPr>
            <w:r w:rsidRPr="7B8D649C">
              <w:rPr>
                <w:sz w:val="20"/>
                <w:szCs w:val="20"/>
              </w:rPr>
              <w:t xml:space="preserve">On or around </w:t>
            </w:r>
            <w:r w:rsidR="373A2D56" w:rsidRPr="7B8D649C">
              <w:rPr>
                <w:sz w:val="20"/>
                <w:szCs w:val="20"/>
              </w:rPr>
              <w:t>2</w:t>
            </w:r>
            <w:r w:rsidR="364CE291" w:rsidRPr="7B8D649C">
              <w:rPr>
                <w:sz w:val="20"/>
                <w:szCs w:val="20"/>
              </w:rPr>
              <w:t>5</w:t>
            </w:r>
            <w:r w:rsidRPr="7B8D649C">
              <w:rPr>
                <w:sz w:val="20"/>
                <w:szCs w:val="20"/>
              </w:rPr>
              <w:t xml:space="preserve"> April 2025</w:t>
            </w:r>
          </w:p>
          <w:p w14:paraId="451C0765" w14:textId="704AB86D" w:rsidR="007E030D" w:rsidRPr="00D0623B" w:rsidRDefault="007E030D" w:rsidP="00206D53">
            <w:pPr>
              <w:rPr>
                <w:rFonts w:cstheme="minorHAnsi"/>
                <w:sz w:val="20"/>
                <w:szCs w:val="20"/>
              </w:rPr>
            </w:pPr>
          </w:p>
        </w:tc>
      </w:tr>
      <w:tr w:rsidR="00C320A1" w:rsidRPr="00D06BBF" w14:paraId="451C0768" w14:textId="77777777" w:rsidTr="7B8D649C">
        <w:tc>
          <w:tcPr>
            <w:tcW w:w="9016" w:type="dxa"/>
            <w:shd w:val="clear" w:color="auto" w:fill="D9D9D9" w:themeFill="background1" w:themeFillShade="D9"/>
          </w:tcPr>
          <w:p w14:paraId="451C0767" w14:textId="77777777" w:rsidR="00C320A1" w:rsidRPr="00D06BBF" w:rsidRDefault="00C320A1" w:rsidP="00B43664">
            <w:pPr>
              <w:rPr>
                <w:rFonts w:cstheme="minorHAnsi"/>
                <w:b/>
                <w:sz w:val="20"/>
                <w:szCs w:val="20"/>
              </w:rPr>
            </w:pPr>
            <w:r w:rsidRPr="00D614AC">
              <w:rPr>
                <w:rFonts w:cstheme="minorHAnsi"/>
                <w:b/>
                <w:sz w:val="20"/>
                <w:szCs w:val="20"/>
                <w:lang w:val="en-US"/>
              </w:rPr>
              <w:t xml:space="preserve">WEBSITE </w:t>
            </w:r>
            <w:r w:rsidR="00CC0E0A" w:rsidRPr="00D614AC">
              <w:rPr>
                <w:rFonts w:cstheme="minorHAnsi"/>
                <w:b/>
                <w:sz w:val="20"/>
                <w:szCs w:val="20"/>
                <w:lang w:val="en-US"/>
              </w:rPr>
              <w:t xml:space="preserve">ADDRESS </w:t>
            </w:r>
            <w:r w:rsidRPr="00D614AC">
              <w:rPr>
                <w:rFonts w:cstheme="minorHAnsi"/>
                <w:b/>
                <w:sz w:val="20"/>
                <w:szCs w:val="20"/>
                <w:lang w:val="en-US"/>
              </w:rPr>
              <w:t xml:space="preserve">WHERE </w:t>
            </w:r>
            <w:r w:rsidR="00CC0E0A" w:rsidRPr="00D614AC">
              <w:rPr>
                <w:rFonts w:cstheme="minorHAnsi"/>
                <w:b/>
                <w:sz w:val="20"/>
                <w:szCs w:val="20"/>
                <w:lang w:val="en-US"/>
              </w:rPr>
              <w:t xml:space="preserve">INVESTOR INFORMATION </w:t>
            </w:r>
            <w:r w:rsidR="001E427E">
              <w:rPr>
                <w:rFonts w:cstheme="minorHAnsi"/>
                <w:b/>
                <w:sz w:val="20"/>
                <w:szCs w:val="20"/>
                <w:lang w:val="en-US"/>
              </w:rPr>
              <w:t>WILL BE</w:t>
            </w:r>
            <w:r w:rsidRPr="00D614AC">
              <w:rPr>
                <w:rFonts w:cstheme="minorHAnsi"/>
                <w:b/>
                <w:sz w:val="20"/>
                <w:szCs w:val="20"/>
                <w:lang w:val="en-US"/>
              </w:rPr>
              <w:t xml:space="preserve"> AVAILABLE FOR INSPECTION</w:t>
            </w:r>
            <w:r w:rsidR="00CC0E0A" w:rsidRPr="00D614AC">
              <w:rPr>
                <w:rFonts w:cstheme="minorHAnsi"/>
                <w:b/>
                <w:sz w:val="20"/>
                <w:szCs w:val="20"/>
                <w:lang w:val="en-US"/>
              </w:rPr>
              <w:t>:</w:t>
            </w:r>
          </w:p>
        </w:tc>
      </w:tr>
      <w:tr w:rsidR="00C320A1" w:rsidRPr="00D06BBF" w14:paraId="451C076A" w14:textId="77777777" w:rsidTr="7B8D649C">
        <w:tc>
          <w:tcPr>
            <w:tcW w:w="9016" w:type="dxa"/>
          </w:tcPr>
          <w:p w14:paraId="451C0769" w14:textId="73CB95B3" w:rsidR="007E030D" w:rsidRPr="00075DC5" w:rsidRDefault="0093702E" w:rsidP="00206D53">
            <w:r>
              <w:rPr>
                <w:rFonts w:cstheme="minorHAnsi"/>
                <w:sz w:val="20"/>
                <w:szCs w:val="20"/>
              </w:rPr>
              <w:br/>
            </w:r>
            <w:hyperlink r:id="rId7" w:history="1">
              <w:r w:rsidRPr="00FA4EA6">
                <w:rPr>
                  <w:rStyle w:val="Hyperlink"/>
                  <w:rFonts w:cstheme="minorHAnsi"/>
                  <w:sz w:val="20"/>
                  <w:szCs w:val="20"/>
                </w:rPr>
                <w:t>www.smarterwebcompany.co.uk</w:t>
              </w:r>
            </w:hyperlink>
            <w:r>
              <w:rPr>
                <w:rFonts w:cstheme="minorHAnsi"/>
                <w:sz w:val="20"/>
                <w:szCs w:val="20"/>
              </w:rPr>
              <w:br/>
            </w:r>
          </w:p>
        </w:tc>
      </w:tr>
      <w:tr w:rsidR="001F751B" w:rsidRPr="00D06BBF" w14:paraId="451C076E" w14:textId="77777777" w:rsidTr="7B8D649C">
        <w:tc>
          <w:tcPr>
            <w:tcW w:w="9016" w:type="dxa"/>
          </w:tcPr>
          <w:p w14:paraId="451C076B" w14:textId="77777777" w:rsidR="001F751B" w:rsidRPr="00D06BBF" w:rsidRDefault="001F751B" w:rsidP="00B43664">
            <w:pPr>
              <w:rPr>
                <w:rFonts w:cstheme="minorHAnsi"/>
                <w:i/>
                <w:sz w:val="20"/>
                <w:szCs w:val="20"/>
              </w:rPr>
            </w:pPr>
          </w:p>
          <w:p w14:paraId="451C076C" w14:textId="77777777" w:rsidR="001F751B" w:rsidRPr="00D06BBF" w:rsidRDefault="001F751B" w:rsidP="00B43664">
            <w:pPr>
              <w:rPr>
                <w:rFonts w:cstheme="minorHAnsi"/>
                <w:i/>
                <w:sz w:val="20"/>
                <w:szCs w:val="20"/>
              </w:rPr>
            </w:pPr>
            <w:r w:rsidRPr="00D06BBF">
              <w:rPr>
                <w:rFonts w:cstheme="minorHAnsi"/>
                <w:i/>
                <w:sz w:val="20"/>
                <w:szCs w:val="20"/>
              </w:rPr>
              <w:t>In respect of a fast-track applicant, the following information should also be included:</w:t>
            </w:r>
          </w:p>
          <w:p w14:paraId="451C076D" w14:textId="77777777" w:rsidR="001F751B" w:rsidRPr="00D06BBF" w:rsidRDefault="001F751B" w:rsidP="00B43664">
            <w:pPr>
              <w:rPr>
                <w:rFonts w:cstheme="minorHAnsi"/>
                <w:sz w:val="20"/>
                <w:szCs w:val="20"/>
              </w:rPr>
            </w:pPr>
          </w:p>
        </w:tc>
      </w:tr>
      <w:tr w:rsidR="001F751B" w:rsidRPr="00D06BBF" w14:paraId="451C0770" w14:textId="77777777" w:rsidTr="7B8D649C">
        <w:tc>
          <w:tcPr>
            <w:tcW w:w="9016" w:type="dxa"/>
            <w:shd w:val="clear" w:color="auto" w:fill="D9D9D9" w:themeFill="background1" w:themeFillShade="D9"/>
          </w:tcPr>
          <w:p w14:paraId="451C076F" w14:textId="77777777" w:rsidR="001F751B" w:rsidRPr="00D06BBF" w:rsidRDefault="001F751B">
            <w:pPr>
              <w:rPr>
                <w:rFonts w:cstheme="minorHAnsi"/>
                <w:b/>
                <w:sz w:val="20"/>
                <w:szCs w:val="20"/>
              </w:rPr>
            </w:pPr>
            <w:r w:rsidRPr="00D06BBF">
              <w:rPr>
                <w:rFonts w:cstheme="minorHAnsi"/>
                <w:b/>
                <w:sz w:val="20"/>
                <w:szCs w:val="20"/>
              </w:rPr>
              <w:t>NAME OF MARKET ON WHICH THE APPLICANT’S SECURITIES ARE CURRENTLY TRADED:</w:t>
            </w:r>
          </w:p>
        </w:tc>
      </w:tr>
      <w:tr w:rsidR="001F751B" w:rsidRPr="00D06BBF" w14:paraId="451C0772" w14:textId="77777777" w:rsidTr="7B8D649C">
        <w:tc>
          <w:tcPr>
            <w:tcW w:w="9016" w:type="dxa"/>
            <w:shd w:val="clear" w:color="auto" w:fill="FFFFFF" w:themeFill="background1"/>
          </w:tcPr>
          <w:p w14:paraId="451C0771" w14:textId="0779E908" w:rsidR="007E030D" w:rsidRPr="00D06BBF" w:rsidRDefault="007E030D" w:rsidP="00206D53">
            <w:pPr>
              <w:rPr>
                <w:rFonts w:cstheme="minorHAnsi"/>
                <w:b/>
                <w:sz w:val="20"/>
                <w:szCs w:val="20"/>
              </w:rPr>
            </w:pPr>
          </w:p>
        </w:tc>
      </w:tr>
      <w:tr w:rsidR="001F751B" w:rsidRPr="00D06BBF" w14:paraId="451C0774" w14:textId="77777777" w:rsidTr="7B8D649C">
        <w:tc>
          <w:tcPr>
            <w:tcW w:w="9016" w:type="dxa"/>
            <w:shd w:val="clear" w:color="auto" w:fill="D9D9D9" w:themeFill="background1" w:themeFillShade="D9"/>
          </w:tcPr>
          <w:p w14:paraId="451C0773" w14:textId="77777777" w:rsidR="001F751B" w:rsidRPr="00D06BBF" w:rsidRDefault="001F751B">
            <w:pPr>
              <w:rPr>
                <w:rFonts w:cstheme="minorHAnsi"/>
                <w:b/>
                <w:sz w:val="20"/>
                <w:szCs w:val="20"/>
              </w:rPr>
            </w:pPr>
            <w:r w:rsidRPr="00D06BBF">
              <w:rPr>
                <w:rFonts w:cstheme="minorHAnsi"/>
                <w:b/>
                <w:sz w:val="20"/>
                <w:szCs w:val="20"/>
              </w:rPr>
              <w:t>ARRANGEMENTS FOR THE SETTLEMENT OF TRANSACTIONS IN THE APPLICANT’S SECURITIES:</w:t>
            </w:r>
          </w:p>
        </w:tc>
      </w:tr>
      <w:tr w:rsidR="001F751B" w:rsidRPr="00D06BBF" w14:paraId="451C0776" w14:textId="77777777" w:rsidTr="7B8D649C">
        <w:tc>
          <w:tcPr>
            <w:tcW w:w="9016" w:type="dxa"/>
          </w:tcPr>
          <w:p w14:paraId="451C0775" w14:textId="33E3F8FA" w:rsidR="007E030D" w:rsidRPr="00D06BBF" w:rsidRDefault="007E030D" w:rsidP="00206D53">
            <w:pPr>
              <w:rPr>
                <w:rFonts w:cstheme="minorHAnsi"/>
                <w:sz w:val="20"/>
                <w:szCs w:val="20"/>
              </w:rPr>
            </w:pPr>
          </w:p>
        </w:tc>
      </w:tr>
      <w:tr w:rsidR="001F751B" w:rsidRPr="00D06BBF" w14:paraId="451C0778" w14:textId="77777777" w:rsidTr="7B8D649C">
        <w:tc>
          <w:tcPr>
            <w:tcW w:w="9016" w:type="dxa"/>
            <w:shd w:val="clear" w:color="auto" w:fill="D9D9D9" w:themeFill="background1" w:themeFillShade="D9"/>
          </w:tcPr>
          <w:p w14:paraId="451C0777" w14:textId="77777777" w:rsidR="001F751B" w:rsidRPr="004E2344" w:rsidRDefault="001F751B">
            <w:pPr>
              <w:rPr>
                <w:rFonts w:cstheme="minorHAnsi"/>
                <w:b/>
                <w:sz w:val="20"/>
                <w:szCs w:val="20"/>
                <w:highlight w:val="yellow"/>
              </w:rPr>
            </w:pPr>
            <w:r w:rsidRPr="00D06BBF">
              <w:rPr>
                <w:rFonts w:cstheme="minorHAnsi"/>
                <w:b/>
                <w:sz w:val="20"/>
                <w:szCs w:val="20"/>
              </w:rPr>
              <w:t>DETAILS OF ANY LOCK-IN ARRANGEMENTS:</w:t>
            </w:r>
          </w:p>
        </w:tc>
      </w:tr>
      <w:tr w:rsidR="001F751B" w:rsidRPr="00D06BBF" w14:paraId="451C077A" w14:textId="77777777" w:rsidTr="7B8D649C">
        <w:tc>
          <w:tcPr>
            <w:tcW w:w="9016" w:type="dxa"/>
          </w:tcPr>
          <w:p w14:paraId="451C0779" w14:textId="058E8DA9" w:rsidR="007E030D" w:rsidRPr="00D06BBF" w:rsidRDefault="007E030D" w:rsidP="00206D53">
            <w:pPr>
              <w:rPr>
                <w:rFonts w:cstheme="minorHAnsi"/>
                <w:sz w:val="20"/>
                <w:szCs w:val="20"/>
              </w:rPr>
            </w:pPr>
          </w:p>
        </w:tc>
      </w:tr>
      <w:tr w:rsidR="001F751B" w:rsidRPr="00D06BBF" w14:paraId="451C077C" w14:textId="77777777" w:rsidTr="7B8D649C">
        <w:tc>
          <w:tcPr>
            <w:tcW w:w="9016" w:type="dxa"/>
            <w:shd w:val="clear" w:color="auto" w:fill="D9D9D9" w:themeFill="background1" w:themeFillShade="D9"/>
          </w:tcPr>
          <w:p w14:paraId="451C077B" w14:textId="77777777" w:rsidR="001F751B" w:rsidRPr="00D06BBF" w:rsidRDefault="001F751B">
            <w:pPr>
              <w:rPr>
                <w:rFonts w:cstheme="minorHAnsi"/>
                <w:b/>
                <w:sz w:val="20"/>
                <w:szCs w:val="20"/>
              </w:rPr>
            </w:pPr>
            <w:r w:rsidRPr="00D06BBF">
              <w:rPr>
                <w:rFonts w:cstheme="minorHAnsi"/>
                <w:b/>
                <w:sz w:val="20"/>
                <w:szCs w:val="20"/>
              </w:rPr>
              <w:t>DETAILS OF THE LEGAL OR REGULATORY REQUIREMENTS IN THE APPLICANT’S HOME COUNTRY REGARDING THE CONDUCT OF TAKEOVERS AND THE ACQUISITION OF SIGNIFICANT VOTING RIGHTS TO WHICH THE APPLICANT IS SUBJECT:</w:t>
            </w:r>
          </w:p>
        </w:tc>
      </w:tr>
      <w:tr w:rsidR="001F751B" w:rsidRPr="00D06BBF" w14:paraId="451C077E" w14:textId="77777777" w:rsidTr="7B8D649C">
        <w:tc>
          <w:tcPr>
            <w:tcW w:w="9016" w:type="dxa"/>
          </w:tcPr>
          <w:p w14:paraId="451C077D" w14:textId="6B3E5BCD" w:rsidR="007E030D" w:rsidRPr="00D06BBF" w:rsidRDefault="007E030D" w:rsidP="00206D53">
            <w:pPr>
              <w:rPr>
                <w:rFonts w:cstheme="minorHAnsi"/>
                <w:sz w:val="20"/>
                <w:szCs w:val="20"/>
              </w:rPr>
            </w:pPr>
          </w:p>
        </w:tc>
      </w:tr>
      <w:tr w:rsidR="001F751B" w:rsidRPr="00D06BBF" w14:paraId="451C0782" w14:textId="77777777" w:rsidTr="7B8D649C">
        <w:tc>
          <w:tcPr>
            <w:tcW w:w="9016" w:type="dxa"/>
          </w:tcPr>
          <w:p w14:paraId="451C077F" w14:textId="77777777" w:rsidR="001F751B" w:rsidRPr="00D06BBF" w:rsidRDefault="001F751B">
            <w:pPr>
              <w:rPr>
                <w:rFonts w:cstheme="minorHAnsi"/>
                <w:i/>
                <w:sz w:val="20"/>
                <w:szCs w:val="20"/>
              </w:rPr>
            </w:pPr>
          </w:p>
          <w:p w14:paraId="451C0780" w14:textId="77777777" w:rsidR="001F751B" w:rsidRPr="00D06BBF" w:rsidRDefault="001F751B">
            <w:pPr>
              <w:rPr>
                <w:rFonts w:cstheme="minorHAnsi"/>
                <w:i/>
                <w:sz w:val="20"/>
                <w:szCs w:val="20"/>
              </w:rPr>
            </w:pPr>
            <w:r w:rsidRPr="00D06BBF">
              <w:rPr>
                <w:rFonts w:cstheme="minorHAnsi"/>
                <w:i/>
                <w:sz w:val="20"/>
                <w:szCs w:val="20"/>
              </w:rPr>
              <w:t>In respect of an update to a prior application announcement, the date of the original announcement should also be disclosed as follows:</w:t>
            </w:r>
          </w:p>
          <w:p w14:paraId="451C0781" w14:textId="77777777" w:rsidR="001F751B" w:rsidRPr="00D06BBF" w:rsidRDefault="001F751B">
            <w:pPr>
              <w:rPr>
                <w:rFonts w:cstheme="minorHAnsi"/>
                <w:i/>
                <w:sz w:val="20"/>
                <w:szCs w:val="20"/>
              </w:rPr>
            </w:pPr>
          </w:p>
        </w:tc>
      </w:tr>
      <w:tr w:rsidR="001F751B" w:rsidRPr="00D06BBF" w14:paraId="451C0784" w14:textId="77777777" w:rsidTr="7B8D649C">
        <w:tc>
          <w:tcPr>
            <w:tcW w:w="9016" w:type="dxa"/>
            <w:shd w:val="clear" w:color="auto" w:fill="D9D9D9" w:themeFill="background1" w:themeFillShade="D9"/>
          </w:tcPr>
          <w:p w14:paraId="451C0783" w14:textId="77777777" w:rsidR="001F751B" w:rsidRPr="00D06BBF" w:rsidRDefault="001F751B">
            <w:pPr>
              <w:rPr>
                <w:rFonts w:cstheme="minorHAnsi"/>
                <w:sz w:val="20"/>
                <w:szCs w:val="20"/>
              </w:rPr>
            </w:pPr>
            <w:r w:rsidRPr="00D06BBF">
              <w:rPr>
                <w:rFonts w:cstheme="minorHAnsi"/>
                <w:b/>
                <w:sz w:val="20"/>
                <w:szCs w:val="20"/>
              </w:rPr>
              <w:t>UPDATE TO A PRIOR APPLICATION ANNOUNCEMENT RELEASED ON:</w:t>
            </w:r>
          </w:p>
        </w:tc>
      </w:tr>
      <w:tr w:rsidR="001F751B" w:rsidRPr="00D06BBF" w14:paraId="451C0786" w14:textId="77777777" w:rsidTr="7B8D649C">
        <w:tc>
          <w:tcPr>
            <w:tcW w:w="9016" w:type="dxa"/>
          </w:tcPr>
          <w:p w14:paraId="451C0785" w14:textId="0ABA8965" w:rsidR="001F751B" w:rsidRPr="00D06BBF" w:rsidRDefault="00FB70F1" w:rsidP="7B8D649C">
            <w:pPr>
              <w:rPr>
                <w:sz w:val="20"/>
                <w:szCs w:val="20"/>
              </w:rPr>
            </w:pPr>
            <w:r w:rsidRPr="7B8D649C">
              <w:rPr>
                <w:sz w:val="20"/>
                <w:szCs w:val="20"/>
              </w:rPr>
              <w:t>1</w:t>
            </w:r>
            <w:r w:rsidR="7C62139A" w:rsidRPr="7B8D649C">
              <w:rPr>
                <w:sz w:val="20"/>
                <w:szCs w:val="20"/>
              </w:rPr>
              <w:t>0</w:t>
            </w:r>
            <w:r w:rsidRPr="7B8D649C">
              <w:rPr>
                <w:sz w:val="20"/>
                <w:szCs w:val="20"/>
              </w:rPr>
              <w:t xml:space="preserve"> April</w:t>
            </w:r>
            <w:r w:rsidR="00FF1DBC" w:rsidRPr="7B8D649C">
              <w:rPr>
                <w:sz w:val="20"/>
                <w:szCs w:val="20"/>
              </w:rPr>
              <w:t xml:space="preserve"> 2025</w:t>
            </w:r>
          </w:p>
        </w:tc>
      </w:tr>
    </w:tbl>
    <w:p w14:paraId="451C078C" w14:textId="77777777" w:rsidR="00B43664" w:rsidRDefault="00B43664" w:rsidP="007E030D"/>
    <w:sectPr w:rsidR="00B4366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664"/>
    <w:rsid w:val="0000677D"/>
    <w:rsid w:val="00021479"/>
    <w:rsid w:val="000240B4"/>
    <w:rsid w:val="00025176"/>
    <w:rsid w:val="00040B12"/>
    <w:rsid w:val="00062603"/>
    <w:rsid w:val="00071C32"/>
    <w:rsid w:val="00075DC5"/>
    <w:rsid w:val="000A3DED"/>
    <w:rsid w:val="000C4506"/>
    <w:rsid w:val="000D2CDB"/>
    <w:rsid w:val="000F0898"/>
    <w:rsid w:val="000F1A04"/>
    <w:rsid w:val="001260CC"/>
    <w:rsid w:val="00131426"/>
    <w:rsid w:val="00135CC1"/>
    <w:rsid w:val="0018124E"/>
    <w:rsid w:val="001D7036"/>
    <w:rsid w:val="001E427E"/>
    <w:rsid w:val="001E7277"/>
    <w:rsid w:val="001F751B"/>
    <w:rsid w:val="002046C1"/>
    <w:rsid w:val="00206D53"/>
    <w:rsid w:val="00260DB9"/>
    <w:rsid w:val="00262C50"/>
    <w:rsid w:val="002651FB"/>
    <w:rsid w:val="00275827"/>
    <w:rsid w:val="00293069"/>
    <w:rsid w:val="002B55FA"/>
    <w:rsid w:val="002C6CB7"/>
    <w:rsid w:val="002F2506"/>
    <w:rsid w:val="00307F6E"/>
    <w:rsid w:val="0031518F"/>
    <w:rsid w:val="0031554A"/>
    <w:rsid w:val="0032637F"/>
    <w:rsid w:val="0034549B"/>
    <w:rsid w:val="00365FB2"/>
    <w:rsid w:val="003A0961"/>
    <w:rsid w:val="003A0F92"/>
    <w:rsid w:val="003A50BB"/>
    <w:rsid w:val="003D7B0D"/>
    <w:rsid w:val="00406ED5"/>
    <w:rsid w:val="004138B6"/>
    <w:rsid w:val="004224E5"/>
    <w:rsid w:val="004265BD"/>
    <w:rsid w:val="00446394"/>
    <w:rsid w:val="004551C0"/>
    <w:rsid w:val="004937FD"/>
    <w:rsid w:val="004A5628"/>
    <w:rsid w:val="004E2344"/>
    <w:rsid w:val="004F2ABB"/>
    <w:rsid w:val="004F308E"/>
    <w:rsid w:val="004F30B0"/>
    <w:rsid w:val="00505033"/>
    <w:rsid w:val="00564007"/>
    <w:rsid w:val="00566ABA"/>
    <w:rsid w:val="00576753"/>
    <w:rsid w:val="005B5BC2"/>
    <w:rsid w:val="005B676D"/>
    <w:rsid w:val="005C335E"/>
    <w:rsid w:val="0060430F"/>
    <w:rsid w:val="006368FE"/>
    <w:rsid w:val="0064095A"/>
    <w:rsid w:val="00645F76"/>
    <w:rsid w:val="00660B11"/>
    <w:rsid w:val="0066519E"/>
    <w:rsid w:val="006756E5"/>
    <w:rsid w:val="00683C15"/>
    <w:rsid w:val="006854A0"/>
    <w:rsid w:val="006A5026"/>
    <w:rsid w:val="006C3600"/>
    <w:rsid w:val="006D6FDA"/>
    <w:rsid w:val="00712B4A"/>
    <w:rsid w:val="007147DB"/>
    <w:rsid w:val="00724AF0"/>
    <w:rsid w:val="007320D5"/>
    <w:rsid w:val="007375A0"/>
    <w:rsid w:val="00741862"/>
    <w:rsid w:val="00743E2A"/>
    <w:rsid w:val="007870A4"/>
    <w:rsid w:val="00795F03"/>
    <w:rsid w:val="007A3554"/>
    <w:rsid w:val="007B3516"/>
    <w:rsid w:val="007B4379"/>
    <w:rsid w:val="007C3E86"/>
    <w:rsid w:val="007D5BB3"/>
    <w:rsid w:val="007E030D"/>
    <w:rsid w:val="0083064F"/>
    <w:rsid w:val="00852FA6"/>
    <w:rsid w:val="00856E4A"/>
    <w:rsid w:val="00870F44"/>
    <w:rsid w:val="00871C62"/>
    <w:rsid w:val="008801DD"/>
    <w:rsid w:val="008874C9"/>
    <w:rsid w:val="008876D5"/>
    <w:rsid w:val="00894B56"/>
    <w:rsid w:val="008C467C"/>
    <w:rsid w:val="008C63C5"/>
    <w:rsid w:val="008D2B16"/>
    <w:rsid w:val="008E13A7"/>
    <w:rsid w:val="008E3754"/>
    <w:rsid w:val="008F66C0"/>
    <w:rsid w:val="00901A48"/>
    <w:rsid w:val="00907607"/>
    <w:rsid w:val="0091757F"/>
    <w:rsid w:val="00921A0E"/>
    <w:rsid w:val="00933759"/>
    <w:rsid w:val="0093475D"/>
    <w:rsid w:val="0093702E"/>
    <w:rsid w:val="009370CF"/>
    <w:rsid w:val="009376F4"/>
    <w:rsid w:val="00950578"/>
    <w:rsid w:val="00951F27"/>
    <w:rsid w:val="00952817"/>
    <w:rsid w:val="0098181B"/>
    <w:rsid w:val="009B3EF1"/>
    <w:rsid w:val="009C597F"/>
    <w:rsid w:val="009E174C"/>
    <w:rsid w:val="009E3A67"/>
    <w:rsid w:val="00A11C7E"/>
    <w:rsid w:val="00A213A7"/>
    <w:rsid w:val="00A2685B"/>
    <w:rsid w:val="00A704D1"/>
    <w:rsid w:val="00A72745"/>
    <w:rsid w:val="00A91CA4"/>
    <w:rsid w:val="00A954AB"/>
    <w:rsid w:val="00AB4615"/>
    <w:rsid w:val="00AC126C"/>
    <w:rsid w:val="00AC44AA"/>
    <w:rsid w:val="00AD5C21"/>
    <w:rsid w:val="00B00906"/>
    <w:rsid w:val="00B1039F"/>
    <w:rsid w:val="00B174CB"/>
    <w:rsid w:val="00B210B2"/>
    <w:rsid w:val="00B32D2B"/>
    <w:rsid w:val="00B43664"/>
    <w:rsid w:val="00B54657"/>
    <w:rsid w:val="00B57558"/>
    <w:rsid w:val="00B63A7A"/>
    <w:rsid w:val="00B80F6E"/>
    <w:rsid w:val="00B97190"/>
    <w:rsid w:val="00BE12A0"/>
    <w:rsid w:val="00C13F53"/>
    <w:rsid w:val="00C17DD2"/>
    <w:rsid w:val="00C320A1"/>
    <w:rsid w:val="00C332C3"/>
    <w:rsid w:val="00C35285"/>
    <w:rsid w:val="00C6547F"/>
    <w:rsid w:val="00CA4D67"/>
    <w:rsid w:val="00CB61CD"/>
    <w:rsid w:val="00CC0795"/>
    <w:rsid w:val="00CC0E0A"/>
    <w:rsid w:val="00D0623B"/>
    <w:rsid w:val="00D06BBF"/>
    <w:rsid w:val="00D07A2C"/>
    <w:rsid w:val="00D25617"/>
    <w:rsid w:val="00D279AC"/>
    <w:rsid w:val="00D37A8E"/>
    <w:rsid w:val="00D47656"/>
    <w:rsid w:val="00D533D9"/>
    <w:rsid w:val="00D538AF"/>
    <w:rsid w:val="00D545C3"/>
    <w:rsid w:val="00D614AC"/>
    <w:rsid w:val="00D83ABC"/>
    <w:rsid w:val="00D93DF3"/>
    <w:rsid w:val="00D97578"/>
    <w:rsid w:val="00DB5D5B"/>
    <w:rsid w:val="00DB6F0D"/>
    <w:rsid w:val="00DE649C"/>
    <w:rsid w:val="00E12865"/>
    <w:rsid w:val="00E13D21"/>
    <w:rsid w:val="00E17A5D"/>
    <w:rsid w:val="00E3386B"/>
    <w:rsid w:val="00E347AA"/>
    <w:rsid w:val="00E4208A"/>
    <w:rsid w:val="00E450F7"/>
    <w:rsid w:val="00E46C30"/>
    <w:rsid w:val="00E865F1"/>
    <w:rsid w:val="00E95EE6"/>
    <w:rsid w:val="00EA085C"/>
    <w:rsid w:val="00EB144E"/>
    <w:rsid w:val="00EC1DDF"/>
    <w:rsid w:val="00EC29F4"/>
    <w:rsid w:val="00EC484F"/>
    <w:rsid w:val="00EF0755"/>
    <w:rsid w:val="00EF214E"/>
    <w:rsid w:val="00F2187D"/>
    <w:rsid w:val="00F229F7"/>
    <w:rsid w:val="00F33A6E"/>
    <w:rsid w:val="00F61364"/>
    <w:rsid w:val="00F61CCD"/>
    <w:rsid w:val="00F65F6C"/>
    <w:rsid w:val="00F66EF5"/>
    <w:rsid w:val="00F94A54"/>
    <w:rsid w:val="00FA45CA"/>
    <w:rsid w:val="00FB6662"/>
    <w:rsid w:val="00FB6F51"/>
    <w:rsid w:val="00FB70F1"/>
    <w:rsid w:val="00FC53CE"/>
    <w:rsid w:val="00FF1DBC"/>
    <w:rsid w:val="32997EB5"/>
    <w:rsid w:val="364CE291"/>
    <w:rsid w:val="373A2D56"/>
    <w:rsid w:val="7B8D649C"/>
    <w:rsid w:val="7C62139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C072F"/>
  <w15:chartTrackingRefBased/>
  <w15:docId w15:val="{3175660E-FEAC-46C0-BFCA-916A3B9BA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1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6B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BBF"/>
    <w:rPr>
      <w:rFonts w:ascii="Segoe UI" w:hAnsi="Segoe UI" w:cs="Segoe UI"/>
      <w:sz w:val="18"/>
      <w:szCs w:val="18"/>
    </w:rPr>
  </w:style>
  <w:style w:type="paragraph" w:customStyle="1" w:styleId="TableParagraph">
    <w:name w:val="Table Paragraph"/>
    <w:basedOn w:val="Normal"/>
    <w:uiPriority w:val="1"/>
    <w:qFormat/>
    <w:rsid w:val="000F0898"/>
    <w:pPr>
      <w:widowControl w:val="0"/>
      <w:spacing w:after="0" w:line="240" w:lineRule="auto"/>
    </w:pPr>
    <w:rPr>
      <w:sz w:val="24"/>
      <w:szCs w:val="24"/>
      <w:lang w:eastAsia="en-GB"/>
    </w:rPr>
  </w:style>
  <w:style w:type="character" w:styleId="Hyperlink">
    <w:name w:val="Hyperlink"/>
    <w:basedOn w:val="DefaultParagraphFont"/>
    <w:uiPriority w:val="99"/>
    <w:unhideWhenUsed/>
    <w:rsid w:val="007E030D"/>
    <w:rPr>
      <w:color w:val="0563C1" w:themeColor="hyperlink"/>
      <w:u w:val="single"/>
    </w:rPr>
  </w:style>
  <w:style w:type="character" w:styleId="UnresolvedMention">
    <w:name w:val="Unresolved Mention"/>
    <w:basedOn w:val="DefaultParagraphFont"/>
    <w:uiPriority w:val="99"/>
    <w:semiHidden/>
    <w:unhideWhenUsed/>
    <w:rsid w:val="007E030D"/>
    <w:rPr>
      <w:color w:val="605E5C"/>
      <w:shd w:val="clear" w:color="auto" w:fill="E1DFDD"/>
    </w:rPr>
  </w:style>
  <w:style w:type="paragraph" w:styleId="Revision">
    <w:name w:val="Revision"/>
    <w:hidden/>
    <w:uiPriority w:val="99"/>
    <w:semiHidden/>
    <w:rsid w:val="00071C32"/>
    <w:pPr>
      <w:spacing w:after="0" w:line="240" w:lineRule="auto"/>
    </w:pPr>
  </w:style>
  <w:style w:type="character" w:styleId="FollowedHyperlink">
    <w:name w:val="FollowedHyperlink"/>
    <w:basedOn w:val="DefaultParagraphFont"/>
    <w:uiPriority w:val="99"/>
    <w:semiHidden/>
    <w:unhideWhenUsed/>
    <w:rsid w:val="00D83AB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13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smarterwebcompany.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72EE7735B0C24F99FE1DB1B8523CEE" ma:contentTypeVersion="15" ma:contentTypeDescription="Create a new document." ma:contentTypeScope="" ma:versionID="0c6faf645ed4978cc64393588dffe5b5">
  <xsd:schema xmlns:xsd="http://www.w3.org/2001/XMLSchema" xmlns:xs="http://www.w3.org/2001/XMLSchema" xmlns:p="http://schemas.microsoft.com/office/2006/metadata/properties" xmlns:ns2="13518483-d2f5-495b-b965-d558fa73cbea" xmlns:ns3="99230aa6-b2ab-47ce-919a-b8c3eac2dac6" targetNamespace="http://schemas.microsoft.com/office/2006/metadata/properties" ma:root="true" ma:fieldsID="84389aeffa675c8da015ed013935f09c" ns2:_="" ns3:_="">
    <xsd:import namespace="13518483-d2f5-495b-b965-d558fa73cbea"/>
    <xsd:import namespace="99230aa6-b2ab-47ce-919a-b8c3eac2dac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18483-d2f5-495b-b965-d558fa73cb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b092492-b993-4838-8de2-a6060fcfebf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descriptio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230aa6-b2ab-47ce-919a-b8c3eac2dac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a2122c3-4855-41a5-ad07-6817f4e3b5eb}" ma:internalName="TaxCatchAll" ma:showField="CatchAllData" ma:web="99230aa6-b2ab-47ce-919a-b8c3eac2dac6">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3518483-d2f5-495b-b965-d558fa73cbea">
      <Terms xmlns="http://schemas.microsoft.com/office/infopath/2007/PartnerControls"/>
    </lcf76f155ced4ddcb4097134ff3c332f>
    <TaxCatchAll xmlns="99230aa6-b2ab-47ce-919a-b8c3eac2dac6" xsi:nil="true"/>
  </documentManagement>
</p:properties>
</file>

<file path=customXml/itemProps1.xml><?xml version="1.0" encoding="utf-8"?>
<ds:datastoreItem xmlns:ds="http://schemas.openxmlformats.org/officeDocument/2006/customXml" ds:itemID="{822FBE2C-2768-4E29-A391-3FF98A55862F}">
  <ds:schemaRefs>
    <ds:schemaRef ds:uri="http://schemas.microsoft.com/sharepoint/v3/contenttype/forms"/>
  </ds:schemaRefs>
</ds:datastoreItem>
</file>

<file path=customXml/itemProps2.xml><?xml version="1.0" encoding="utf-8"?>
<ds:datastoreItem xmlns:ds="http://schemas.openxmlformats.org/officeDocument/2006/customXml" ds:itemID="{10E17E44-52A5-4DE7-8D2E-C601CD93D6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518483-d2f5-495b-b965-d558fa73cbea"/>
    <ds:schemaRef ds:uri="99230aa6-b2ab-47ce-919a-b8c3eac2d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B0D99D-6990-4397-9B40-83E82D6525DD}">
  <ds:schemaRefs>
    <ds:schemaRef ds:uri="http://schemas.microsoft.com/office/2006/metadata/properties"/>
    <ds:schemaRef ds:uri="http://schemas.microsoft.com/office/infopath/2007/PartnerControls"/>
    <ds:schemaRef ds:uri="13518483-d2f5-495b-b965-d558fa73cbea"/>
    <ds:schemaRef ds:uri="99230aa6-b2ab-47ce-919a-b8c3eac2dac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558</Words>
  <Characters>3142</Characters>
  <Application>Microsoft Office Word</Application>
  <DocSecurity>4</DocSecurity>
  <Lines>78</Lines>
  <Paragraphs>26</Paragraphs>
  <ScaleCrop>false</ScaleCrop>
  <Company/>
  <LinksUpToDate>false</LinksUpToDate>
  <CharactersWithSpaces>3674</CharactersWithSpaces>
  <SharedDoc>false</SharedDoc>
  <HLinks>
    <vt:vector size="12" baseType="variant">
      <vt:variant>
        <vt:i4>6946938</vt:i4>
      </vt:variant>
      <vt:variant>
        <vt:i4>3</vt:i4>
      </vt:variant>
      <vt:variant>
        <vt:i4>0</vt:i4>
      </vt:variant>
      <vt:variant>
        <vt:i4>5</vt:i4>
      </vt:variant>
      <vt:variant>
        <vt:lpwstr>http://www.smarterwebcompany.co.uk/</vt:lpwstr>
      </vt:variant>
      <vt:variant>
        <vt:lpwstr/>
      </vt:variant>
      <vt:variant>
        <vt:i4>1114154</vt:i4>
      </vt:variant>
      <vt:variant>
        <vt:i4>0</vt:i4>
      </vt:variant>
      <vt:variant>
        <vt:i4>0</vt:i4>
      </vt:variant>
      <vt:variant>
        <vt:i4>5</vt:i4>
      </vt:variant>
      <vt:variant>
        <vt:lpwstr>mailto:aqseregulation@aquis.eu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Olm</dc:creator>
  <cp:keywords/>
  <dc:description/>
  <cp:lastModifiedBy>Diljá Helgadóttir</cp:lastModifiedBy>
  <cp:revision>2</cp:revision>
  <dcterms:created xsi:type="dcterms:W3CDTF">2025-04-14T15:28:00Z</dcterms:created>
  <dcterms:modified xsi:type="dcterms:W3CDTF">2025-04-14T15:28:00Z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0x0101001E72EE7735B0C24F99FE1DB1B8523CEE</vt:lpwstr>
  </property>
  <property fmtid="{D5CDD505-2E9C-101B-9397-08002B2CF9AE}" pid="3" name="MediaServiceImageTags">
    <vt:lpwstr/>
  </property>
</Properties>
</file>