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E002" w14:textId="1617FF52" w:rsidR="007E3334" w:rsidRDefault="007E3334" w:rsidP="00C85BF1">
      <w:pPr>
        <w:jc w:val="right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1AAB4DF" wp14:editId="3DA1FBF4">
            <wp:extent cx="1892300" cy="1081374"/>
            <wp:effectExtent l="0" t="0" r="0" b="0"/>
            <wp:docPr id="1" name="Picture 1" descr="A picture containing moon, dark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oon, darknes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081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5AD2A" w14:textId="23CA16FA" w:rsidR="00F917CA" w:rsidRPr="00D13E45" w:rsidRDefault="007639B5">
      <w:pPr>
        <w:rPr>
          <w:b/>
          <w:bCs/>
        </w:rPr>
      </w:pPr>
      <w:r>
        <w:rPr>
          <w:b/>
          <w:bCs/>
        </w:rPr>
        <w:t>Applicant</w:t>
      </w:r>
      <w:r w:rsidR="00143E34">
        <w:rPr>
          <w:b/>
          <w:bCs/>
        </w:rPr>
        <w:t xml:space="preserve"> </w:t>
      </w:r>
      <w:r w:rsidR="000C00DB" w:rsidRPr="00D13E45">
        <w:rPr>
          <w:b/>
          <w:bCs/>
        </w:rPr>
        <w:t>Liquidity</w:t>
      </w:r>
      <w:r w:rsidR="00F917CA" w:rsidRPr="00D13E45">
        <w:rPr>
          <w:b/>
          <w:bCs/>
        </w:rPr>
        <w:t xml:space="preserve"> Assessment</w:t>
      </w:r>
    </w:p>
    <w:p w14:paraId="0D93F09F" w14:textId="57363402" w:rsidR="002C1695" w:rsidRDefault="003379D7">
      <w:r>
        <w:t xml:space="preserve">This </w:t>
      </w:r>
      <w:r w:rsidR="00D13E45">
        <w:t>form</w:t>
      </w:r>
      <w:r>
        <w:t xml:space="preserve"> is intended to </w:t>
      </w:r>
      <w:r w:rsidR="00D13E45">
        <w:t xml:space="preserve">aid in the assessment of an applicant’s likely liquidity profile. </w:t>
      </w:r>
      <w:r w:rsidR="00D57BCF">
        <w:t xml:space="preserve">There are </w:t>
      </w:r>
      <w:proofErr w:type="gramStart"/>
      <w:r w:rsidR="00D57BCF">
        <w:t>a number of</w:t>
      </w:r>
      <w:proofErr w:type="gramEnd"/>
      <w:r w:rsidR="00D57BCF">
        <w:t xml:space="preserve"> factors that can contribute to the liquidity in an applicant’s securities following admission.  Collating this detail </w:t>
      </w:r>
      <w:r w:rsidR="00D13E45">
        <w:t xml:space="preserve">provides </w:t>
      </w:r>
      <w:r>
        <w:t>all stakeholders</w:t>
      </w:r>
      <w:r w:rsidR="00D13E45">
        <w:t xml:space="preserve"> </w:t>
      </w:r>
      <w:r w:rsidR="00D57BCF">
        <w:t xml:space="preserve">with </w:t>
      </w:r>
      <w:r w:rsidR="00D13E45">
        <w:t xml:space="preserve">a clear </w:t>
      </w:r>
      <w:r w:rsidR="002C1695">
        <w:t>overview of the factors that</w:t>
      </w:r>
      <w:r w:rsidR="00482154">
        <w:t xml:space="preserve"> contribute</w:t>
      </w:r>
      <w:r w:rsidR="002C1695">
        <w:t xml:space="preserve"> </w:t>
      </w:r>
      <w:r w:rsidR="00482154">
        <w:t xml:space="preserve">to an </w:t>
      </w:r>
      <w:r w:rsidR="001325DC">
        <w:t>efficient secondary</w:t>
      </w:r>
      <w:r w:rsidR="002C1695">
        <w:t xml:space="preserve"> market.  </w:t>
      </w:r>
    </w:p>
    <w:p w14:paraId="130B93A1" w14:textId="2784F40A" w:rsidR="0073779D" w:rsidRDefault="002C1695">
      <w:r>
        <w:t xml:space="preserve">If </w:t>
      </w:r>
      <w:r w:rsidR="00D13E45">
        <w:t>a number</w:t>
      </w:r>
      <w:r>
        <w:t xml:space="preserve"> of these factors are </w:t>
      </w:r>
      <w:r w:rsidR="0034670B">
        <w:t xml:space="preserve">not </w:t>
      </w:r>
      <w:r>
        <w:t>present, an orderly market in the securities may not be possible</w:t>
      </w:r>
      <w:r w:rsidR="00D13E45">
        <w:t xml:space="preserve"> and c</w:t>
      </w:r>
      <w:r>
        <w:t xml:space="preserve">onsequently, </w:t>
      </w:r>
      <w:r w:rsidR="00D13E45">
        <w:t xml:space="preserve">an </w:t>
      </w:r>
      <w:r>
        <w:t>applicant will not be appropriate for admission to the Aquis Growth Market.</w:t>
      </w:r>
    </w:p>
    <w:tbl>
      <w:tblPr>
        <w:tblStyle w:val="TableGrid"/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68"/>
        <w:gridCol w:w="5807"/>
      </w:tblGrid>
      <w:tr w:rsidR="00F917CA" w14:paraId="15E805F1" w14:textId="77777777" w:rsidTr="0098788B">
        <w:trPr>
          <w:jc w:val="center"/>
        </w:trPr>
        <w:tc>
          <w:tcPr>
            <w:tcW w:w="4668" w:type="dxa"/>
          </w:tcPr>
          <w:p w14:paraId="147BD168" w14:textId="0597D8C6" w:rsidR="00F917CA" w:rsidRDefault="00F917CA">
            <w:r>
              <w:t xml:space="preserve">Expected </w:t>
            </w:r>
            <w:r w:rsidR="00D13E45">
              <w:t>market cap</w:t>
            </w:r>
            <w:r w:rsidR="00062F00">
              <w:t>:</w:t>
            </w:r>
          </w:p>
        </w:tc>
        <w:tc>
          <w:tcPr>
            <w:tcW w:w="5807" w:type="dxa"/>
          </w:tcPr>
          <w:p w14:paraId="6D1D3E32" w14:textId="77777777" w:rsidR="00F917CA" w:rsidRDefault="00F917CA"/>
        </w:tc>
      </w:tr>
      <w:tr w:rsidR="000C00DB" w14:paraId="3EFC6111" w14:textId="77777777" w:rsidTr="0098788B">
        <w:trPr>
          <w:jc w:val="center"/>
        </w:trPr>
        <w:tc>
          <w:tcPr>
            <w:tcW w:w="4668" w:type="dxa"/>
          </w:tcPr>
          <w:p w14:paraId="346A4E1A" w14:textId="5FA2DA26" w:rsidR="000C00DB" w:rsidRDefault="000C00DB">
            <w:r>
              <w:t xml:space="preserve">Funds </w:t>
            </w:r>
            <w:r w:rsidR="00D13E45">
              <w:t>r</w:t>
            </w:r>
            <w:r>
              <w:t xml:space="preserve">aised at </w:t>
            </w:r>
            <w:r w:rsidR="00D13E45">
              <w:t>admission</w:t>
            </w:r>
            <w:r w:rsidR="00062F00">
              <w:t>:</w:t>
            </w:r>
          </w:p>
        </w:tc>
        <w:tc>
          <w:tcPr>
            <w:tcW w:w="5807" w:type="dxa"/>
          </w:tcPr>
          <w:p w14:paraId="6D4303F9" w14:textId="77777777" w:rsidR="000C00DB" w:rsidRDefault="000C00DB"/>
        </w:tc>
      </w:tr>
      <w:tr w:rsidR="0034670B" w14:paraId="025EB6BC" w14:textId="77777777" w:rsidTr="0098788B">
        <w:trPr>
          <w:jc w:val="center"/>
        </w:trPr>
        <w:tc>
          <w:tcPr>
            <w:tcW w:w="4668" w:type="dxa"/>
          </w:tcPr>
          <w:p w14:paraId="5D2FCDD4" w14:textId="010E3647" w:rsidR="0034670B" w:rsidRDefault="0034670B">
            <w:r>
              <w:t>Retail Investor Platform</w:t>
            </w:r>
            <w:r w:rsidR="00062F00">
              <w:t xml:space="preserve"> Engaged (Bookbuild, </w:t>
            </w:r>
            <w:proofErr w:type="spellStart"/>
            <w:r w:rsidR="007E3334">
              <w:t>PrimaryBid</w:t>
            </w:r>
            <w:proofErr w:type="spellEnd"/>
            <w:r w:rsidR="007E3334">
              <w:t xml:space="preserve">, REX, </w:t>
            </w:r>
            <w:r w:rsidR="00062F00">
              <w:t>WRAP)?</w:t>
            </w:r>
          </w:p>
        </w:tc>
        <w:tc>
          <w:tcPr>
            <w:tcW w:w="5807" w:type="dxa"/>
          </w:tcPr>
          <w:p w14:paraId="0DF81C34" w14:textId="77777777" w:rsidR="0034670B" w:rsidRDefault="0034670B"/>
        </w:tc>
      </w:tr>
      <w:tr w:rsidR="0034670B" w14:paraId="5871C632" w14:textId="77777777" w:rsidTr="0098788B">
        <w:trPr>
          <w:jc w:val="center"/>
        </w:trPr>
        <w:tc>
          <w:tcPr>
            <w:tcW w:w="4668" w:type="dxa"/>
          </w:tcPr>
          <w:p w14:paraId="7D89FFA9" w14:textId="067F1E5D" w:rsidR="0034670B" w:rsidRDefault="0034670B">
            <w:r>
              <w:t>Free float</w:t>
            </w:r>
            <w:r w:rsidR="007E3334">
              <w:t>:</w:t>
            </w:r>
          </w:p>
        </w:tc>
        <w:tc>
          <w:tcPr>
            <w:tcW w:w="5807" w:type="dxa"/>
          </w:tcPr>
          <w:p w14:paraId="3221DEEC" w14:textId="77777777" w:rsidR="0034670B" w:rsidRDefault="0034670B"/>
        </w:tc>
      </w:tr>
      <w:tr w:rsidR="00F917CA" w14:paraId="5D33B5DF" w14:textId="77777777" w:rsidTr="0098788B">
        <w:trPr>
          <w:jc w:val="center"/>
        </w:trPr>
        <w:tc>
          <w:tcPr>
            <w:tcW w:w="4668" w:type="dxa"/>
          </w:tcPr>
          <w:p w14:paraId="32D45903" w14:textId="43799B15" w:rsidR="00F917CA" w:rsidRDefault="00F917CA">
            <w:r>
              <w:t>Shareholders</w:t>
            </w:r>
            <w:r w:rsidR="000C00DB">
              <w:t xml:space="preserve"> Constituent Analysis (~%)</w:t>
            </w:r>
            <w:r>
              <w:t>:</w:t>
            </w:r>
          </w:p>
          <w:p w14:paraId="32A70536" w14:textId="24AAE530" w:rsidR="00F917CA" w:rsidRDefault="00F917CA" w:rsidP="000C00DB">
            <w:pPr>
              <w:pStyle w:val="ListParagraph"/>
              <w:numPr>
                <w:ilvl w:val="0"/>
                <w:numId w:val="1"/>
              </w:numPr>
            </w:pPr>
            <w:r>
              <w:t>Founder Shareholders</w:t>
            </w:r>
            <w:r w:rsidR="000C00DB">
              <w:t>:</w:t>
            </w:r>
          </w:p>
          <w:p w14:paraId="1299BE38" w14:textId="314878B3" w:rsidR="00F917CA" w:rsidRDefault="00F917CA" w:rsidP="00F917CA">
            <w:pPr>
              <w:pStyle w:val="ListParagraph"/>
              <w:numPr>
                <w:ilvl w:val="0"/>
                <w:numId w:val="1"/>
              </w:numPr>
            </w:pPr>
            <w:r>
              <w:t>EIS</w:t>
            </w:r>
            <w:r w:rsidR="0034670B">
              <w:t>/VCT</w:t>
            </w:r>
            <w:r>
              <w:t xml:space="preserve"> Shareholders</w:t>
            </w:r>
            <w:r w:rsidR="000C00DB">
              <w:t>:</w:t>
            </w:r>
          </w:p>
          <w:p w14:paraId="44924A79" w14:textId="401214D2" w:rsidR="00F917CA" w:rsidRDefault="000C00DB" w:rsidP="00F917CA">
            <w:pPr>
              <w:pStyle w:val="ListParagraph"/>
              <w:numPr>
                <w:ilvl w:val="0"/>
                <w:numId w:val="1"/>
              </w:numPr>
            </w:pPr>
            <w:r>
              <w:t>Other Institution Shareholders</w:t>
            </w:r>
            <w:r w:rsidR="003379D7">
              <w:t>:</w:t>
            </w:r>
          </w:p>
          <w:p w14:paraId="47EA3A08" w14:textId="135C2FD4" w:rsidR="0034670B" w:rsidRDefault="000C00DB" w:rsidP="00F917CA">
            <w:pPr>
              <w:pStyle w:val="ListParagraph"/>
              <w:numPr>
                <w:ilvl w:val="0"/>
                <w:numId w:val="1"/>
              </w:numPr>
            </w:pPr>
            <w:r>
              <w:t>Family Office/</w:t>
            </w:r>
            <w:r w:rsidR="0034670B">
              <w:t>HN</w:t>
            </w:r>
            <w:r>
              <w:t>W Shareholders:</w:t>
            </w:r>
            <w:r w:rsidR="0034670B">
              <w:t xml:space="preserve"> </w:t>
            </w:r>
          </w:p>
          <w:p w14:paraId="727367CD" w14:textId="2C800FC8" w:rsidR="000C00DB" w:rsidRDefault="0034670B" w:rsidP="00F917CA">
            <w:pPr>
              <w:pStyle w:val="ListParagraph"/>
              <w:numPr>
                <w:ilvl w:val="0"/>
                <w:numId w:val="1"/>
              </w:numPr>
            </w:pPr>
            <w:r>
              <w:t>Retail</w:t>
            </w:r>
          </w:p>
        </w:tc>
        <w:tc>
          <w:tcPr>
            <w:tcW w:w="5807" w:type="dxa"/>
          </w:tcPr>
          <w:p w14:paraId="50621104" w14:textId="77777777" w:rsidR="00F917CA" w:rsidRDefault="00F917CA"/>
        </w:tc>
      </w:tr>
      <w:tr w:rsidR="000C00DB" w14:paraId="47D9536A" w14:textId="77777777" w:rsidTr="0098788B">
        <w:trPr>
          <w:jc w:val="center"/>
        </w:trPr>
        <w:tc>
          <w:tcPr>
            <w:tcW w:w="4668" w:type="dxa"/>
          </w:tcPr>
          <w:p w14:paraId="1EAFEAC4" w14:textId="55BC82EE" w:rsidR="000C00DB" w:rsidRDefault="000C00DB">
            <w:r>
              <w:t>No. of Shareholders</w:t>
            </w:r>
            <w:r w:rsidR="007E3334">
              <w:t>:</w:t>
            </w:r>
          </w:p>
        </w:tc>
        <w:tc>
          <w:tcPr>
            <w:tcW w:w="5807" w:type="dxa"/>
          </w:tcPr>
          <w:p w14:paraId="5DCE211E" w14:textId="77777777" w:rsidR="000C00DB" w:rsidRDefault="000C00DB"/>
        </w:tc>
      </w:tr>
      <w:tr w:rsidR="00F917CA" w14:paraId="55152F76" w14:textId="77777777" w:rsidTr="0098788B">
        <w:trPr>
          <w:jc w:val="center"/>
        </w:trPr>
        <w:tc>
          <w:tcPr>
            <w:tcW w:w="4668" w:type="dxa"/>
          </w:tcPr>
          <w:p w14:paraId="23D509AD" w14:textId="3BF7BBF1" w:rsidR="00F917CA" w:rsidRDefault="000C00DB">
            <w:r>
              <w:t>Locked-in Shareholders (%)</w:t>
            </w:r>
            <w:r w:rsidR="007E3334">
              <w:t>:</w:t>
            </w:r>
          </w:p>
        </w:tc>
        <w:tc>
          <w:tcPr>
            <w:tcW w:w="5807" w:type="dxa"/>
          </w:tcPr>
          <w:p w14:paraId="41C20F91" w14:textId="77777777" w:rsidR="007E3334" w:rsidRDefault="007E3334"/>
          <w:p w14:paraId="3EE0E746" w14:textId="77777777" w:rsidR="007E3334" w:rsidRDefault="007E3334"/>
        </w:tc>
      </w:tr>
      <w:tr w:rsidR="003379D7" w14:paraId="1F8876B5" w14:textId="77777777" w:rsidTr="0098788B">
        <w:trPr>
          <w:jc w:val="center"/>
        </w:trPr>
        <w:tc>
          <w:tcPr>
            <w:tcW w:w="4668" w:type="dxa"/>
          </w:tcPr>
          <w:p w14:paraId="7DAF1052" w14:textId="25D89DB1" w:rsidR="003379D7" w:rsidRDefault="00D13E45">
            <w:r>
              <w:t>Over</w:t>
            </w:r>
            <w:r w:rsidR="00D57BCF">
              <w:t>view</w:t>
            </w:r>
            <w:r>
              <w:t xml:space="preserve"> of p</w:t>
            </w:r>
            <w:r w:rsidR="003379D7">
              <w:t>re-IPO fundraise</w:t>
            </w:r>
            <w:r w:rsidR="002C1695">
              <w:t>(s)</w:t>
            </w:r>
            <w:r>
              <w:t>, including</w:t>
            </w:r>
            <w:r w:rsidR="003379D7">
              <w:t>:</w:t>
            </w:r>
          </w:p>
          <w:p w14:paraId="5256CA97" w14:textId="540ADBDC" w:rsidR="003379D7" w:rsidRDefault="00177427" w:rsidP="003379D7">
            <w:pPr>
              <w:pStyle w:val="ListParagraph"/>
              <w:numPr>
                <w:ilvl w:val="0"/>
                <w:numId w:val="1"/>
              </w:numPr>
            </w:pPr>
            <w:r>
              <w:t>Composition</w:t>
            </w:r>
            <w:r w:rsidR="002C1695">
              <w:t xml:space="preserve"> of investors (</w:t>
            </w:r>
            <w:r w:rsidR="00452A6F">
              <w:t>i</w:t>
            </w:r>
            <w:r w:rsidR="002C1695">
              <w:t>nstitutional/</w:t>
            </w:r>
            <w:r w:rsidR="00452A6F">
              <w:t>f</w:t>
            </w:r>
            <w:r w:rsidR="002C1695">
              <w:t>ounder/</w:t>
            </w:r>
            <w:r w:rsidR="00452A6F">
              <w:t>f</w:t>
            </w:r>
            <w:r w:rsidR="002C1695">
              <w:t xml:space="preserve">amily &amp; </w:t>
            </w:r>
            <w:r w:rsidR="00452A6F">
              <w:t>f</w:t>
            </w:r>
            <w:r w:rsidR="002C1695">
              <w:t>riends)</w:t>
            </w:r>
          </w:p>
          <w:p w14:paraId="735EF787" w14:textId="77777777" w:rsidR="002C1695" w:rsidRDefault="002C1695" w:rsidP="003379D7">
            <w:pPr>
              <w:pStyle w:val="ListParagraph"/>
              <w:numPr>
                <w:ilvl w:val="0"/>
                <w:numId w:val="1"/>
              </w:numPr>
            </w:pPr>
            <w:r>
              <w:t>Arranged by broker?</w:t>
            </w:r>
          </w:p>
          <w:p w14:paraId="686AEC15" w14:textId="38E66229" w:rsidR="002C1695" w:rsidRDefault="00D13E45" w:rsidP="003379D7">
            <w:pPr>
              <w:pStyle w:val="ListParagraph"/>
              <w:numPr>
                <w:ilvl w:val="0"/>
                <w:numId w:val="1"/>
              </w:numPr>
            </w:pPr>
            <w:r>
              <w:t xml:space="preserve">Valuation </w:t>
            </w:r>
            <w:r w:rsidR="00D57BCF">
              <w:t>at fundraise (</w:t>
            </w:r>
            <w:proofErr w:type="gramStart"/>
            <w:r w:rsidR="00452A6F">
              <w:t>i.e.</w:t>
            </w:r>
            <w:proofErr w:type="gramEnd"/>
            <w:r w:rsidR="00D57BCF">
              <w:t xml:space="preserve"> subscription price)</w:t>
            </w:r>
          </w:p>
          <w:p w14:paraId="62CB36F0" w14:textId="6DC43F3C" w:rsidR="002C1695" w:rsidRDefault="002C1695" w:rsidP="003379D7">
            <w:pPr>
              <w:pStyle w:val="ListParagraph"/>
              <w:numPr>
                <w:ilvl w:val="0"/>
                <w:numId w:val="1"/>
              </w:numPr>
            </w:pPr>
            <w:r>
              <w:t>Dates/Timeline</w:t>
            </w:r>
          </w:p>
        </w:tc>
        <w:tc>
          <w:tcPr>
            <w:tcW w:w="5807" w:type="dxa"/>
          </w:tcPr>
          <w:p w14:paraId="29077E63" w14:textId="77777777" w:rsidR="003379D7" w:rsidRDefault="003379D7"/>
        </w:tc>
      </w:tr>
      <w:tr w:rsidR="00F917CA" w14:paraId="3A69CC0E" w14:textId="77777777" w:rsidTr="0098788B">
        <w:trPr>
          <w:jc w:val="center"/>
        </w:trPr>
        <w:tc>
          <w:tcPr>
            <w:tcW w:w="4668" w:type="dxa"/>
          </w:tcPr>
          <w:p w14:paraId="28CAA333" w14:textId="26209A0D" w:rsidR="00F917CA" w:rsidRDefault="000C00DB">
            <w:r>
              <w:t>Shareholders located outside the UK (%)</w:t>
            </w:r>
          </w:p>
        </w:tc>
        <w:tc>
          <w:tcPr>
            <w:tcW w:w="5807" w:type="dxa"/>
          </w:tcPr>
          <w:p w14:paraId="44C69FE9" w14:textId="77777777" w:rsidR="00F917CA" w:rsidRDefault="00F917CA"/>
          <w:p w14:paraId="00E3B37F" w14:textId="77777777" w:rsidR="007E3334" w:rsidRDefault="007E3334"/>
        </w:tc>
      </w:tr>
      <w:tr w:rsidR="00F917CA" w14:paraId="7EF6F66D" w14:textId="77777777" w:rsidTr="0098788B">
        <w:trPr>
          <w:jc w:val="center"/>
        </w:trPr>
        <w:tc>
          <w:tcPr>
            <w:tcW w:w="4668" w:type="dxa"/>
          </w:tcPr>
          <w:p w14:paraId="07C6026B" w14:textId="76647D20" w:rsidR="00F917CA" w:rsidRDefault="00D57BCF">
            <w:r>
              <w:t>Has a</w:t>
            </w:r>
            <w:r w:rsidR="000C00DB">
              <w:t xml:space="preserve"> broker </w:t>
            </w:r>
            <w:r>
              <w:t xml:space="preserve">been </w:t>
            </w:r>
            <w:r w:rsidR="00F129CC">
              <w:t xml:space="preserve">engaged in the fund </w:t>
            </w:r>
            <w:proofErr w:type="spellStart"/>
            <w:r w:rsidR="00F129CC">
              <w:t>raise</w:t>
            </w:r>
            <w:proofErr w:type="spellEnd"/>
            <w:r w:rsidR="00F129CC">
              <w:t xml:space="preserve"> at </w:t>
            </w:r>
            <w:r>
              <w:t>admission</w:t>
            </w:r>
            <w:r w:rsidR="000C00DB">
              <w:t>?</w:t>
            </w:r>
          </w:p>
        </w:tc>
        <w:tc>
          <w:tcPr>
            <w:tcW w:w="5807" w:type="dxa"/>
          </w:tcPr>
          <w:p w14:paraId="52576CD5" w14:textId="77777777" w:rsidR="00F917CA" w:rsidRDefault="00F917CA"/>
        </w:tc>
      </w:tr>
      <w:tr w:rsidR="004150AA" w14:paraId="0E8615A2" w14:textId="77777777" w:rsidTr="0098788B">
        <w:trPr>
          <w:jc w:val="center"/>
        </w:trPr>
        <w:tc>
          <w:tcPr>
            <w:tcW w:w="4668" w:type="dxa"/>
          </w:tcPr>
          <w:p w14:paraId="6F878ECD" w14:textId="67C5817F" w:rsidR="004150AA" w:rsidRDefault="004150AA">
            <w:r>
              <w:t>Is there a research note</w:t>
            </w:r>
            <w:r w:rsidR="008221E1">
              <w:t xml:space="preserve"> being produced?</w:t>
            </w:r>
          </w:p>
        </w:tc>
        <w:tc>
          <w:tcPr>
            <w:tcW w:w="5807" w:type="dxa"/>
          </w:tcPr>
          <w:p w14:paraId="3E7E4E13" w14:textId="77777777" w:rsidR="004150AA" w:rsidRDefault="004150AA"/>
        </w:tc>
      </w:tr>
      <w:tr w:rsidR="00F917CA" w14:paraId="1034A43D" w14:textId="77777777" w:rsidTr="0098788B">
        <w:trPr>
          <w:jc w:val="center"/>
        </w:trPr>
        <w:tc>
          <w:tcPr>
            <w:tcW w:w="4668" w:type="dxa"/>
          </w:tcPr>
          <w:p w14:paraId="6358A5A3" w14:textId="10275A8D" w:rsidR="00F917CA" w:rsidRDefault="007E3334">
            <w:r>
              <w:t>Does</w:t>
            </w:r>
            <w:r w:rsidR="000C00DB">
              <w:t xml:space="preserve"> the Corporate Adviser </w:t>
            </w:r>
            <w:r>
              <w:t xml:space="preserve">have </w:t>
            </w:r>
            <w:r w:rsidR="000C00DB">
              <w:t xml:space="preserve">a broking </w:t>
            </w:r>
            <w:r w:rsidR="00D57BCF">
              <w:t>division?</w:t>
            </w:r>
          </w:p>
        </w:tc>
        <w:tc>
          <w:tcPr>
            <w:tcW w:w="5807" w:type="dxa"/>
          </w:tcPr>
          <w:p w14:paraId="5AD749BC" w14:textId="77777777" w:rsidR="00F917CA" w:rsidRDefault="00F917CA"/>
        </w:tc>
      </w:tr>
      <w:tr w:rsidR="003F1218" w14:paraId="064C1B64" w14:textId="77777777" w:rsidTr="0098788B">
        <w:trPr>
          <w:jc w:val="center"/>
        </w:trPr>
        <w:tc>
          <w:tcPr>
            <w:tcW w:w="4668" w:type="dxa"/>
          </w:tcPr>
          <w:p w14:paraId="1C13796F" w14:textId="5323B6FA" w:rsidR="003F1218" w:rsidRDefault="00660DBF">
            <w:r>
              <w:t xml:space="preserve">Will the company require further funds to be raised </w:t>
            </w:r>
            <w:r w:rsidR="00855264">
              <w:t>during</w:t>
            </w:r>
            <w:r>
              <w:t xml:space="preserve"> the next 12 months?</w:t>
            </w:r>
          </w:p>
        </w:tc>
        <w:tc>
          <w:tcPr>
            <w:tcW w:w="5807" w:type="dxa"/>
          </w:tcPr>
          <w:p w14:paraId="3226670D" w14:textId="77777777" w:rsidR="003F1218" w:rsidRDefault="003F1218"/>
        </w:tc>
      </w:tr>
      <w:tr w:rsidR="0034670B" w14:paraId="12A90248" w14:textId="77777777" w:rsidTr="0098788B">
        <w:trPr>
          <w:jc w:val="center"/>
        </w:trPr>
        <w:tc>
          <w:tcPr>
            <w:tcW w:w="4668" w:type="dxa"/>
          </w:tcPr>
          <w:p w14:paraId="2A62068B" w14:textId="527CD931" w:rsidR="0034670B" w:rsidRDefault="0034670B">
            <w:r>
              <w:t>IR strategy overview</w:t>
            </w:r>
          </w:p>
        </w:tc>
        <w:tc>
          <w:tcPr>
            <w:tcW w:w="5807" w:type="dxa"/>
          </w:tcPr>
          <w:p w14:paraId="7A8E765B" w14:textId="77777777" w:rsidR="0034670B" w:rsidRDefault="0034670B"/>
          <w:p w14:paraId="59283680" w14:textId="77777777" w:rsidR="007E3334" w:rsidRDefault="007E3334"/>
          <w:p w14:paraId="31EAF2D7" w14:textId="77777777" w:rsidR="00C1131E" w:rsidRDefault="00C1131E"/>
          <w:p w14:paraId="69EDBB49" w14:textId="77777777" w:rsidR="00C1131E" w:rsidRDefault="00C1131E"/>
          <w:p w14:paraId="0DA1C902" w14:textId="77777777" w:rsidR="007E3334" w:rsidRDefault="007E3334"/>
        </w:tc>
      </w:tr>
      <w:tr w:rsidR="00F917CA" w14:paraId="569D3F36" w14:textId="77777777" w:rsidTr="0098788B">
        <w:trPr>
          <w:jc w:val="center"/>
        </w:trPr>
        <w:tc>
          <w:tcPr>
            <w:tcW w:w="4668" w:type="dxa"/>
          </w:tcPr>
          <w:p w14:paraId="4E8D8410" w14:textId="493AFAF8" w:rsidR="00F917CA" w:rsidRDefault="00F129CC">
            <w:r>
              <w:t>Other Comment:</w:t>
            </w:r>
          </w:p>
        </w:tc>
        <w:tc>
          <w:tcPr>
            <w:tcW w:w="5807" w:type="dxa"/>
          </w:tcPr>
          <w:p w14:paraId="317CC7DB" w14:textId="77777777" w:rsidR="007E3334" w:rsidRDefault="007E3334"/>
          <w:p w14:paraId="261033BA" w14:textId="77777777" w:rsidR="007E3334" w:rsidRDefault="007E3334"/>
        </w:tc>
      </w:tr>
    </w:tbl>
    <w:p w14:paraId="5E7EE619" w14:textId="77777777" w:rsidR="00F917CA" w:rsidRDefault="00F917CA"/>
    <w:p w14:paraId="520D3B71" w14:textId="20A653E9" w:rsidR="00F861E2" w:rsidRPr="00BF28C6" w:rsidRDefault="00F861E2">
      <w:pPr>
        <w:rPr>
          <w:b/>
          <w:bCs/>
        </w:rPr>
      </w:pPr>
      <w:r w:rsidRPr="00BF28C6">
        <w:rPr>
          <w:b/>
          <w:bCs/>
        </w:rPr>
        <w:t>P</w:t>
      </w:r>
      <w:r w:rsidR="00BF28C6" w:rsidRPr="00BF28C6">
        <w:rPr>
          <w:b/>
          <w:bCs/>
        </w:rPr>
        <w:t>lease return this form to</w:t>
      </w:r>
      <w:r w:rsidR="000F354D">
        <w:rPr>
          <w:b/>
          <w:bCs/>
        </w:rPr>
        <w:t>:</w:t>
      </w:r>
      <w:r w:rsidR="00BF28C6" w:rsidRPr="00BF28C6">
        <w:rPr>
          <w:b/>
          <w:bCs/>
        </w:rPr>
        <w:t xml:space="preserve"> </w:t>
      </w:r>
      <w:hyperlink r:id="rId9" w:history="1">
        <w:r w:rsidR="00BF28C6" w:rsidRPr="00BF28C6">
          <w:rPr>
            <w:rStyle w:val="Hyperlink"/>
            <w:b/>
            <w:bCs/>
          </w:rPr>
          <w:t>AQSERegulation@aquis.eu</w:t>
        </w:r>
      </w:hyperlink>
      <w:r w:rsidR="00BF28C6" w:rsidRPr="00BF28C6">
        <w:rPr>
          <w:b/>
          <w:bCs/>
        </w:rPr>
        <w:t xml:space="preserve"> </w:t>
      </w:r>
    </w:p>
    <w:sectPr w:rsidR="00F861E2" w:rsidRPr="00BF28C6" w:rsidSect="007E33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B1B14"/>
    <w:multiLevelType w:val="hybridMultilevel"/>
    <w:tmpl w:val="4E5462DA"/>
    <w:lvl w:ilvl="0" w:tplc="52BA2F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485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7CA"/>
    <w:rsid w:val="00062F00"/>
    <w:rsid w:val="000C00DB"/>
    <w:rsid w:val="000E3A9D"/>
    <w:rsid w:val="000F354D"/>
    <w:rsid w:val="001325DC"/>
    <w:rsid w:val="00143E34"/>
    <w:rsid w:val="0015045F"/>
    <w:rsid w:val="00177427"/>
    <w:rsid w:val="0018358D"/>
    <w:rsid w:val="002C1695"/>
    <w:rsid w:val="003379D7"/>
    <w:rsid w:val="0034670B"/>
    <w:rsid w:val="003B114E"/>
    <w:rsid w:val="003F1218"/>
    <w:rsid w:val="004150AA"/>
    <w:rsid w:val="00452A6F"/>
    <w:rsid w:val="00482154"/>
    <w:rsid w:val="004F37AA"/>
    <w:rsid w:val="0056089B"/>
    <w:rsid w:val="00660DBF"/>
    <w:rsid w:val="0073779D"/>
    <w:rsid w:val="00742B90"/>
    <w:rsid w:val="007639B5"/>
    <w:rsid w:val="007E3334"/>
    <w:rsid w:val="008221E1"/>
    <w:rsid w:val="00851BEA"/>
    <w:rsid w:val="00855264"/>
    <w:rsid w:val="008C58B2"/>
    <w:rsid w:val="00962D97"/>
    <w:rsid w:val="0098788B"/>
    <w:rsid w:val="00A80717"/>
    <w:rsid w:val="00AF73A3"/>
    <w:rsid w:val="00BF28C6"/>
    <w:rsid w:val="00C1131E"/>
    <w:rsid w:val="00C317A5"/>
    <w:rsid w:val="00C85BF1"/>
    <w:rsid w:val="00D13E45"/>
    <w:rsid w:val="00D57BCF"/>
    <w:rsid w:val="00EB1B3E"/>
    <w:rsid w:val="00F129CC"/>
    <w:rsid w:val="00F861E2"/>
    <w:rsid w:val="00F917CA"/>
    <w:rsid w:val="00FB7DEF"/>
    <w:rsid w:val="00FC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275E8"/>
  <w15:chartTrackingRefBased/>
  <w15:docId w15:val="{4285A7A8-23A3-402A-9E92-1B36E2DA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7CA"/>
    <w:pPr>
      <w:ind w:left="720"/>
      <w:contextualSpacing/>
    </w:pPr>
  </w:style>
  <w:style w:type="paragraph" w:styleId="Revision">
    <w:name w:val="Revision"/>
    <w:hidden/>
    <w:uiPriority w:val="99"/>
    <w:semiHidden/>
    <w:rsid w:val="003467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28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QSERegulation@aqui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1a3557-9b0e-4f6b-ba0c-7645aa07fd2b">
      <Terms xmlns="http://schemas.microsoft.com/office/infopath/2007/PartnerControls"/>
    </lcf76f155ced4ddcb4097134ff3c332f>
    <TaxCatchAll xmlns="3e20cb89-bdaa-4253-8b19-5c8ddbb771e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F0455B1A94B40A564640FA39F7930" ma:contentTypeVersion="18" ma:contentTypeDescription="Create a new document." ma:contentTypeScope="" ma:versionID="bec0c1cd9d14b2acecc6088fcc8f3033">
  <xsd:schema xmlns:xsd="http://www.w3.org/2001/XMLSchema" xmlns:xs="http://www.w3.org/2001/XMLSchema" xmlns:p="http://schemas.microsoft.com/office/2006/metadata/properties" xmlns:ns2="fe1a3557-9b0e-4f6b-ba0c-7645aa07fd2b" xmlns:ns3="3e20cb89-bdaa-4253-8b19-5c8ddbb771ed" targetNamespace="http://schemas.microsoft.com/office/2006/metadata/properties" ma:root="true" ma:fieldsID="886c9c6dff5a4fb0c5e744bcf5bfae91" ns2:_="" ns3:_="">
    <xsd:import namespace="fe1a3557-9b0e-4f6b-ba0c-7645aa07fd2b"/>
    <xsd:import namespace="3e20cb89-bdaa-4253-8b19-5c8ddbb77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a3557-9b0e-4f6b-ba0c-7645aa07f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4c0ae18-fba6-44a5-a955-6e50b82f9f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0cb89-bdaa-4253-8b19-5c8ddbb771e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4000f5a-ff4f-4952-9b20-4334748314f3}" ma:internalName="TaxCatchAll" ma:showField="CatchAllData" ma:web="3e20cb89-bdaa-4253-8b19-5c8ddbb771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F5B6CB-B641-463E-9479-2E4A463D7EC8}">
  <ds:schemaRefs>
    <ds:schemaRef ds:uri="http://schemas.microsoft.com/office/2006/metadata/properties"/>
    <ds:schemaRef ds:uri="http://schemas.microsoft.com/office/infopath/2007/PartnerControls"/>
    <ds:schemaRef ds:uri="fe1a3557-9b0e-4f6b-ba0c-7645aa07fd2b"/>
    <ds:schemaRef ds:uri="3e20cb89-bdaa-4253-8b19-5c8ddbb771ed"/>
  </ds:schemaRefs>
</ds:datastoreItem>
</file>

<file path=customXml/itemProps2.xml><?xml version="1.0" encoding="utf-8"?>
<ds:datastoreItem xmlns:ds="http://schemas.openxmlformats.org/officeDocument/2006/customXml" ds:itemID="{F82BE100-46AD-44F0-BB27-E0E2BC0B5D61}"/>
</file>

<file path=customXml/itemProps3.xml><?xml version="1.0" encoding="utf-8"?>
<ds:datastoreItem xmlns:ds="http://schemas.openxmlformats.org/officeDocument/2006/customXml" ds:itemID="{0E739350-FA0C-4C65-BCE2-09E787BAE9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Olm</dc:creator>
  <cp:keywords/>
  <dc:description/>
  <cp:lastModifiedBy>Philip Olm</cp:lastModifiedBy>
  <cp:revision>3</cp:revision>
  <dcterms:created xsi:type="dcterms:W3CDTF">2023-07-03T16:45:00Z</dcterms:created>
  <dcterms:modified xsi:type="dcterms:W3CDTF">2023-07-06T11:01:00Z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0x0101003C5F0455B1A94B40A564640FA39F7930</vt:lpwstr>
  </property>
  <property fmtid="{D5CDD505-2E9C-101B-9397-08002B2CF9AE}" pid="3" name="MediaServiceImageTags">
    <vt:lpwstr/>
  </property>
</Properties>
</file>